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85EC0" w14:textId="11F874E3" w:rsidR="004D1341" w:rsidRDefault="004D1341" w:rsidP="006D3C51">
      <w:pPr>
        <w:spacing w:line="276" w:lineRule="auto"/>
        <w:jc w:val="both"/>
        <w:rPr>
          <w:rFonts w:ascii="Times New Roman" w:hAnsi="Times New Roman" w:cs="Times New Roman"/>
          <w:b/>
          <w:iCs/>
          <w:sz w:val="24"/>
          <w:szCs w:val="24"/>
        </w:rPr>
      </w:pPr>
      <w:r w:rsidRPr="006D3C51">
        <w:rPr>
          <w:rFonts w:ascii="Times New Roman" w:hAnsi="Times New Roman" w:cs="Times New Roman"/>
          <w:b/>
          <w:iCs/>
          <w:sz w:val="24"/>
          <w:szCs w:val="24"/>
        </w:rPr>
        <w:t>TRIBUNAL EUROPEO</w:t>
      </w:r>
      <w:r w:rsidR="00462617">
        <w:rPr>
          <w:rFonts w:ascii="Times New Roman" w:hAnsi="Times New Roman" w:cs="Times New Roman"/>
          <w:b/>
          <w:iCs/>
          <w:sz w:val="24"/>
          <w:szCs w:val="24"/>
        </w:rPr>
        <w:t xml:space="preserve"> DE DERECHOS HUMANOS</w:t>
      </w:r>
      <w:r w:rsidRPr="006D3C51">
        <w:rPr>
          <w:rFonts w:ascii="Times New Roman" w:hAnsi="Times New Roman" w:cs="Times New Roman"/>
          <w:b/>
          <w:iCs/>
          <w:sz w:val="24"/>
          <w:szCs w:val="24"/>
        </w:rPr>
        <w:t xml:space="preserve"> Y MODIFICACIÓN DEL SEXO EN LOS REGISTROS CIVILES: LOS DERECHOS DE LAS PERSONAS TRANSEXUALES EN UN CAMINO TODAVÍA EN CONSTRUCCIÓN</w:t>
      </w:r>
    </w:p>
    <w:p w14:paraId="377B8BDA" w14:textId="3CE4855B" w:rsidR="00F00BC6" w:rsidRPr="00F00BC6" w:rsidRDefault="00F00BC6" w:rsidP="006D3C51">
      <w:pPr>
        <w:spacing w:line="276" w:lineRule="auto"/>
        <w:jc w:val="both"/>
        <w:rPr>
          <w:rFonts w:ascii="Times New Roman" w:hAnsi="Times New Roman" w:cs="Times New Roman"/>
          <w:b/>
          <w:iCs/>
          <w:sz w:val="24"/>
          <w:szCs w:val="24"/>
          <w:lang w:val="en-US"/>
        </w:rPr>
      </w:pPr>
      <w:r w:rsidRPr="00F00BC6">
        <w:rPr>
          <w:rFonts w:ascii="Times New Roman" w:hAnsi="Times New Roman" w:cs="Times New Roman"/>
          <w:b/>
          <w:iCs/>
          <w:sz w:val="24"/>
          <w:szCs w:val="24"/>
          <w:lang w:val="en-US"/>
        </w:rPr>
        <w:t>European Court of Human Rights and modification of sex in civil registries: the rights of transsexual people on a path still under construction</w:t>
      </w:r>
    </w:p>
    <w:p w14:paraId="7F26C5C7" w14:textId="4655F914" w:rsidR="00B723FF" w:rsidRDefault="00B723FF" w:rsidP="00B723FF">
      <w:pPr>
        <w:spacing w:after="0" w:line="240" w:lineRule="auto"/>
        <w:jc w:val="right"/>
        <w:rPr>
          <w:rFonts w:ascii="Times New Roman" w:hAnsi="Times New Roman" w:cs="Times New Roman"/>
          <w:b/>
          <w:iCs/>
          <w:sz w:val="24"/>
          <w:szCs w:val="24"/>
        </w:rPr>
      </w:pPr>
      <w:r>
        <w:rPr>
          <w:rFonts w:ascii="Times New Roman" w:hAnsi="Times New Roman" w:cs="Times New Roman"/>
          <w:b/>
          <w:iCs/>
          <w:sz w:val="24"/>
          <w:szCs w:val="24"/>
        </w:rPr>
        <w:t>Silvia Romboli</w:t>
      </w:r>
    </w:p>
    <w:p w14:paraId="63F73E78" w14:textId="1F2464A7" w:rsidR="00B723FF" w:rsidRPr="00B723FF" w:rsidRDefault="00B723FF" w:rsidP="00B723FF">
      <w:pPr>
        <w:spacing w:after="0" w:line="240" w:lineRule="auto"/>
        <w:jc w:val="right"/>
        <w:rPr>
          <w:rFonts w:ascii="Times New Roman" w:hAnsi="Times New Roman" w:cs="Times New Roman"/>
          <w:iCs/>
          <w:sz w:val="24"/>
          <w:szCs w:val="24"/>
        </w:rPr>
      </w:pPr>
      <w:r w:rsidRPr="00B723FF">
        <w:rPr>
          <w:rFonts w:ascii="Times New Roman" w:hAnsi="Times New Roman" w:cs="Times New Roman"/>
          <w:iCs/>
          <w:sz w:val="24"/>
          <w:szCs w:val="24"/>
        </w:rPr>
        <w:t xml:space="preserve">Profesora Contratada Doctora de Derecho Constitucional </w:t>
      </w:r>
    </w:p>
    <w:p w14:paraId="6B414A81" w14:textId="23B4A3A9" w:rsidR="00B723FF" w:rsidRPr="00B723FF" w:rsidRDefault="00B723FF" w:rsidP="00B723FF">
      <w:pPr>
        <w:spacing w:after="0" w:line="240" w:lineRule="auto"/>
        <w:jc w:val="right"/>
        <w:rPr>
          <w:rFonts w:ascii="Times New Roman" w:hAnsi="Times New Roman" w:cs="Times New Roman"/>
          <w:iCs/>
          <w:sz w:val="24"/>
          <w:szCs w:val="24"/>
        </w:rPr>
      </w:pPr>
      <w:r w:rsidRPr="00B723FF">
        <w:rPr>
          <w:rFonts w:ascii="Times New Roman" w:hAnsi="Times New Roman" w:cs="Times New Roman"/>
          <w:iCs/>
          <w:sz w:val="24"/>
          <w:szCs w:val="24"/>
        </w:rPr>
        <w:t>Universidad Ramon Llull, ESADE, Barcelona</w:t>
      </w:r>
    </w:p>
    <w:p w14:paraId="57A9AF3D" w14:textId="77777777" w:rsidR="00B723FF" w:rsidRDefault="00B723FF" w:rsidP="006D3C51">
      <w:pPr>
        <w:spacing w:line="276" w:lineRule="auto"/>
        <w:jc w:val="both"/>
        <w:rPr>
          <w:rFonts w:ascii="Times New Roman" w:hAnsi="Times New Roman" w:cs="Times New Roman"/>
          <w:b/>
          <w:iCs/>
          <w:sz w:val="24"/>
          <w:szCs w:val="24"/>
        </w:rPr>
      </w:pPr>
    </w:p>
    <w:p w14:paraId="3A88BA5E" w14:textId="77777777" w:rsidR="00C3176A" w:rsidRPr="00E504AF" w:rsidRDefault="00C3176A" w:rsidP="00C3176A">
      <w:pPr>
        <w:spacing w:line="276"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Resumen: </w:t>
      </w:r>
      <w:r>
        <w:rPr>
          <w:rFonts w:ascii="Times New Roman" w:hAnsi="Times New Roman" w:cs="Times New Roman"/>
          <w:iCs/>
          <w:sz w:val="24"/>
          <w:szCs w:val="24"/>
        </w:rPr>
        <w:t>En razón de la importancia de las actuaciones del</w:t>
      </w:r>
      <w:r w:rsidRPr="002D7262">
        <w:rPr>
          <w:rFonts w:ascii="Times New Roman" w:hAnsi="Times New Roman" w:cs="Times New Roman"/>
          <w:iCs/>
          <w:sz w:val="24"/>
          <w:szCs w:val="24"/>
        </w:rPr>
        <w:t xml:space="preserve"> Tribunal Europeo de Derechos Humanos en la construcción y difusión de un</w:t>
      </w:r>
      <w:r>
        <w:rPr>
          <w:rFonts w:ascii="Times New Roman" w:hAnsi="Times New Roman" w:cs="Times New Roman"/>
          <w:iCs/>
          <w:sz w:val="24"/>
          <w:szCs w:val="24"/>
        </w:rPr>
        <w:t xml:space="preserve">as normas comunes de </w:t>
      </w:r>
      <w:r w:rsidRPr="002D7262">
        <w:rPr>
          <w:rFonts w:ascii="Times New Roman" w:hAnsi="Times New Roman" w:cs="Times New Roman"/>
          <w:iCs/>
          <w:sz w:val="24"/>
          <w:szCs w:val="24"/>
        </w:rPr>
        <w:t xml:space="preserve">protección de los derechos </w:t>
      </w:r>
      <w:r>
        <w:rPr>
          <w:rFonts w:ascii="Times New Roman" w:hAnsi="Times New Roman" w:cs="Times New Roman"/>
          <w:iCs/>
          <w:sz w:val="24"/>
          <w:szCs w:val="24"/>
        </w:rPr>
        <w:t>humanos, tanto en el entorno europeo como a nivel internacional, este trabajo se dedica a recopilar, con las oportunas consideraciones críticas, las decisiones del Tribunal Europeo relativas a la vulneración de los derechos humanos ante la negativa de los Estados miembros del Consejo de Europa a la modificación del sexo en los registros civiles solicitada por personas transexuales</w:t>
      </w:r>
      <w:r w:rsidRPr="002D7262">
        <w:rPr>
          <w:rFonts w:ascii="Times New Roman" w:hAnsi="Times New Roman" w:cs="Times New Roman"/>
          <w:iCs/>
          <w:sz w:val="24"/>
          <w:szCs w:val="24"/>
        </w:rPr>
        <w:t>.</w:t>
      </w:r>
      <w:r>
        <w:rPr>
          <w:rFonts w:ascii="Times New Roman" w:hAnsi="Times New Roman" w:cs="Times New Roman"/>
          <w:iCs/>
          <w:sz w:val="24"/>
          <w:szCs w:val="24"/>
        </w:rPr>
        <w:t xml:space="preserve"> El propósito principal del artículo es, en efecto, difundir los contenidos de la jurisprudencia del TEDH sobre el particular, con el objetivo de que las instituciones nacionales actúen conforme a los estándares elaborados por el Tribunal Europeo. </w:t>
      </w:r>
    </w:p>
    <w:p w14:paraId="2A627806" w14:textId="77777777" w:rsidR="00C3176A" w:rsidRPr="0061055A" w:rsidRDefault="00C3176A" w:rsidP="00C3176A">
      <w:pPr>
        <w:spacing w:line="276" w:lineRule="auto"/>
        <w:jc w:val="both"/>
        <w:rPr>
          <w:rFonts w:ascii="Times New Roman" w:hAnsi="Times New Roman" w:cs="Times New Roman"/>
          <w:iCs/>
          <w:sz w:val="24"/>
          <w:szCs w:val="24"/>
        </w:rPr>
      </w:pPr>
      <w:r>
        <w:rPr>
          <w:rFonts w:ascii="Times New Roman" w:hAnsi="Times New Roman" w:cs="Times New Roman"/>
          <w:b/>
          <w:iCs/>
          <w:sz w:val="24"/>
          <w:szCs w:val="24"/>
        </w:rPr>
        <w:t xml:space="preserve">Palabras clave: </w:t>
      </w:r>
      <w:r w:rsidRPr="0061055A">
        <w:rPr>
          <w:rFonts w:ascii="Times New Roman" w:hAnsi="Times New Roman" w:cs="Times New Roman"/>
          <w:iCs/>
          <w:sz w:val="24"/>
          <w:szCs w:val="24"/>
        </w:rPr>
        <w:t>derecho a la identidad sexual, tra</w:t>
      </w:r>
      <w:r>
        <w:rPr>
          <w:rFonts w:ascii="Times New Roman" w:hAnsi="Times New Roman" w:cs="Times New Roman"/>
          <w:iCs/>
          <w:sz w:val="24"/>
          <w:szCs w:val="24"/>
        </w:rPr>
        <w:t xml:space="preserve">nsexualidad, Tribunal Europeo de Derechos Humanos, art. 8 CEDH, modificación registral del sexo, derecho a la integridad física y moral. </w:t>
      </w:r>
    </w:p>
    <w:p w14:paraId="1EA349C9" w14:textId="77777777" w:rsidR="00C3176A" w:rsidRDefault="00C3176A" w:rsidP="00C3176A">
      <w:pPr>
        <w:spacing w:line="276" w:lineRule="auto"/>
        <w:jc w:val="both"/>
        <w:rPr>
          <w:rFonts w:ascii="Times New Roman" w:hAnsi="Times New Roman" w:cs="Times New Roman"/>
          <w:b/>
          <w:iCs/>
          <w:sz w:val="24"/>
          <w:szCs w:val="24"/>
        </w:rPr>
      </w:pPr>
    </w:p>
    <w:p w14:paraId="7952620F" w14:textId="77777777" w:rsidR="00C3176A" w:rsidRPr="00A17A4D" w:rsidRDefault="00C3176A" w:rsidP="00C3176A">
      <w:pPr>
        <w:spacing w:line="276" w:lineRule="auto"/>
        <w:jc w:val="both"/>
        <w:rPr>
          <w:rFonts w:ascii="Times New Roman" w:hAnsi="Times New Roman" w:cs="Times New Roman"/>
          <w:iCs/>
          <w:sz w:val="24"/>
          <w:szCs w:val="24"/>
          <w:lang w:val="en-US"/>
        </w:rPr>
      </w:pPr>
      <w:r w:rsidRPr="00A17A4D">
        <w:rPr>
          <w:rFonts w:ascii="Times New Roman" w:hAnsi="Times New Roman" w:cs="Times New Roman"/>
          <w:b/>
          <w:iCs/>
          <w:sz w:val="24"/>
          <w:szCs w:val="24"/>
          <w:lang w:val="en-US"/>
        </w:rPr>
        <w:t xml:space="preserve">Abstract: </w:t>
      </w:r>
      <w:r w:rsidRPr="00A17A4D">
        <w:rPr>
          <w:rFonts w:ascii="Times New Roman" w:hAnsi="Times New Roman" w:cs="Times New Roman"/>
          <w:iCs/>
          <w:sz w:val="24"/>
          <w:szCs w:val="24"/>
          <w:lang w:val="en-US"/>
        </w:rPr>
        <w:t xml:space="preserve">Due to the importance of the actions of the European Court of Human Rights in the construction and dissemination of common standards for the protection of human rights, both in the European environment and at the international level, this work is dedicated to compiling, with the appropriate critical considerations, the decisions of the European Court regarding the violation of human rights in the face of the refusal of the Member States of the Council of Europe to change the sex in civil registries requested by transsexuals. The main purpose of the article is, in effect, to disseminate the contents of the </w:t>
      </w:r>
      <w:r>
        <w:rPr>
          <w:rFonts w:ascii="Times New Roman" w:hAnsi="Times New Roman" w:cs="Times New Roman"/>
          <w:iCs/>
          <w:sz w:val="24"/>
          <w:szCs w:val="24"/>
          <w:lang w:val="en-US"/>
        </w:rPr>
        <w:t>case-law</w:t>
      </w:r>
      <w:r w:rsidRPr="00A17A4D">
        <w:rPr>
          <w:rFonts w:ascii="Times New Roman" w:hAnsi="Times New Roman" w:cs="Times New Roman"/>
          <w:iCs/>
          <w:sz w:val="24"/>
          <w:szCs w:val="24"/>
          <w:lang w:val="en-US"/>
        </w:rPr>
        <w:t xml:space="preserve"> of the EC</w:t>
      </w:r>
      <w:r>
        <w:rPr>
          <w:rFonts w:ascii="Times New Roman" w:hAnsi="Times New Roman" w:cs="Times New Roman"/>
          <w:iCs/>
          <w:sz w:val="24"/>
          <w:szCs w:val="24"/>
          <w:lang w:val="en-US"/>
        </w:rPr>
        <w:t>t</w:t>
      </w:r>
      <w:r w:rsidRPr="00A17A4D">
        <w:rPr>
          <w:rFonts w:ascii="Times New Roman" w:hAnsi="Times New Roman" w:cs="Times New Roman"/>
          <w:iCs/>
          <w:sz w:val="24"/>
          <w:szCs w:val="24"/>
          <w:lang w:val="en-US"/>
        </w:rPr>
        <w:t>HR on the matter, with the aim that national institutions act in accordance with the standards elaborated by the European Court.</w:t>
      </w:r>
    </w:p>
    <w:p w14:paraId="6888C292" w14:textId="77777777" w:rsidR="00C3176A" w:rsidRPr="00F23D36" w:rsidRDefault="00C3176A" w:rsidP="00C3176A">
      <w:pPr>
        <w:spacing w:line="276" w:lineRule="auto"/>
        <w:jc w:val="both"/>
        <w:rPr>
          <w:rFonts w:ascii="Times New Roman" w:hAnsi="Times New Roman" w:cs="Times New Roman"/>
          <w:b/>
          <w:iCs/>
          <w:sz w:val="24"/>
          <w:szCs w:val="24"/>
          <w:lang w:val="en-US"/>
        </w:rPr>
      </w:pPr>
      <w:r w:rsidRPr="00F23D36">
        <w:rPr>
          <w:rFonts w:ascii="Times New Roman" w:hAnsi="Times New Roman" w:cs="Times New Roman"/>
          <w:b/>
          <w:iCs/>
          <w:sz w:val="24"/>
          <w:szCs w:val="24"/>
          <w:lang w:val="en-US"/>
        </w:rPr>
        <w:t>Key-words:</w:t>
      </w:r>
      <w:r w:rsidRPr="00F23D36">
        <w:rPr>
          <w:lang w:val="en-US"/>
        </w:rPr>
        <w:t xml:space="preserve"> </w:t>
      </w:r>
      <w:r w:rsidRPr="00F23D36">
        <w:rPr>
          <w:rFonts w:ascii="Times New Roman" w:hAnsi="Times New Roman" w:cs="Times New Roman"/>
          <w:iCs/>
          <w:sz w:val="24"/>
          <w:szCs w:val="24"/>
          <w:lang w:val="en-US"/>
        </w:rPr>
        <w:t>right to sexual identity, transsexuality, European Court of Human Rights, art. 8 ECHR, registration change of sex</w:t>
      </w:r>
      <w:r>
        <w:rPr>
          <w:rFonts w:ascii="Times New Roman" w:hAnsi="Times New Roman" w:cs="Times New Roman"/>
          <w:iCs/>
          <w:sz w:val="24"/>
          <w:szCs w:val="24"/>
          <w:lang w:val="en-US"/>
        </w:rPr>
        <w:t>,</w:t>
      </w:r>
      <w:r w:rsidRPr="00F23D36">
        <w:rPr>
          <w:lang w:val="en-US"/>
        </w:rPr>
        <w:t xml:space="preserve"> </w:t>
      </w:r>
      <w:r w:rsidRPr="00F23D36">
        <w:rPr>
          <w:rFonts w:ascii="Times New Roman" w:hAnsi="Times New Roman" w:cs="Times New Roman"/>
          <w:iCs/>
          <w:sz w:val="24"/>
          <w:szCs w:val="24"/>
          <w:lang w:val="en-US"/>
        </w:rPr>
        <w:t>right to physical and moral integrity.</w:t>
      </w:r>
    </w:p>
    <w:p w14:paraId="0A2E4CBE" w14:textId="77777777" w:rsidR="00C3176A" w:rsidRPr="00C3176A" w:rsidRDefault="00C3176A" w:rsidP="002F6E4F">
      <w:pPr>
        <w:spacing w:line="276" w:lineRule="auto"/>
        <w:jc w:val="both"/>
        <w:rPr>
          <w:rFonts w:ascii="Times New Roman" w:hAnsi="Times New Roman" w:cs="Times New Roman"/>
          <w:b/>
          <w:iCs/>
          <w:sz w:val="24"/>
          <w:szCs w:val="24"/>
          <w:lang w:val="en-US"/>
        </w:rPr>
      </w:pPr>
    </w:p>
    <w:p w14:paraId="67A06DE4" w14:textId="13D5BFDD" w:rsidR="002F6E4F" w:rsidRPr="002F6E4F" w:rsidRDefault="00D77EA3" w:rsidP="002F6E4F">
      <w:pPr>
        <w:spacing w:line="276" w:lineRule="auto"/>
        <w:jc w:val="both"/>
        <w:rPr>
          <w:rFonts w:ascii="Times New Roman" w:hAnsi="Times New Roman" w:cs="Times New Roman"/>
          <w:b/>
          <w:iCs/>
          <w:sz w:val="24"/>
          <w:szCs w:val="24"/>
        </w:rPr>
      </w:pPr>
      <w:r>
        <w:rPr>
          <w:rFonts w:ascii="Times New Roman" w:hAnsi="Times New Roman" w:cs="Times New Roman"/>
          <w:b/>
          <w:iCs/>
          <w:sz w:val="24"/>
          <w:szCs w:val="24"/>
        </w:rPr>
        <w:t>Sumario:</w:t>
      </w:r>
      <w:r w:rsidR="00632151" w:rsidRPr="00632151">
        <w:rPr>
          <w:rFonts w:ascii="Times New Roman" w:hAnsi="Times New Roman" w:cs="Times New Roman"/>
          <w:b/>
          <w:iCs/>
          <w:sz w:val="24"/>
          <w:szCs w:val="24"/>
        </w:rPr>
        <w:t xml:space="preserve"> </w:t>
      </w:r>
      <w:r w:rsidR="00632151" w:rsidRPr="00632151">
        <w:rPr>
          <w:rFonts w:ascii="Times New Roman" w:hAnsi="Times New Roman" w:cs="Times New Roman"/>
          <w:iCs/>
          <w:sz w:val="24"/>
          <w:szCs w:val="24"/>
        </w:rPr>
        <w:t xml:space="preserve">I. </w:t>
      </w:r>
      <w:bookmarkStart w:id="0" w:name="_Hlk83720914"/>
      <w:r w:rsidR="003B5EF2">
        <w:rPr>
          <w:rFonts w:ascii="Times New Roman" w:hAnsi="Times New Roman" w:cs="Times New Roman"/>
          <w:iCs/>
          <w:sz w:val="24"/>
          <w:szCs w:val="24"/>
        </w:rPr>
        <w:t>I</w:t>
      </w:r>
      <w:r w:rsidR="00632151" w:rsidRPr="00632151">
        <w:rPr>
          <w:rFonts w:ascii="Times New Roman" w:hAnsi="Times New Roman" w:cs="Times New Roman"/>
          <w:iCs/>
          <w:sz w:val="24"/>
          <w:szCs w:val="24"/>
        </w:rPr>
        <w:t>ntroduc</w:t>
      </w:r>
      <w:r w:rsidR="003B5EF2">
        <w:rPr>
          <w:rFonts w:ascii="Times New Roman" w:hAnsi="Times New Roman" w:cs="Times New Roman"/>
          <w:iCs/>
          <w:sz w:val="24"/>
          <w:szCs w:val="24"/>
        </w:rPr>
        <w:t>ción</w:t>
      </w:r>
      <w:bookmarkEnd w:id="0"/>
      <w:r w:rsidR="00632151" w:rsidRPr="0029780B">
        <w:rPr>
          <w:rFonts w:ascii="Times New Roman" w:hAnsi="Times New Roman" w:cs="Times New Roman"/>
          <w:iCs/>
          <w:sz w:val="24"/>
          <w:szCs w:val="24"/>
        </w:rPr>
        <w:t>. II.</w:t>
      </w:r>
      <w:r w:rsidR="0029780B" w:rsidRPr="0029780B">
        <w:rPr>
          <w:rFonts w:ascii="Times New Roman" w:hAnsi="Times New Roman" w:cs="Times New Roman"/>
          <w:iCs/>
          <w:sz w:val="24"/>
          <w:szCs w:val="24"/>
        </w:rPr>
        <w:t xml:space="preserve"> Una primera etapa en la jurisprudencia del TEDH en materia de transexualidad y modificación del sexo en los registros civiles: pocas garantía</w:t>
      </w:r>
      <w:r w:rsidR="00BA06FB">
        <w:rPr>
          <w:rFonts w:ascii="Times New Roman" w:hAnsi="Times New Roman" w:cs="Times New Roman"/>
          <w:iCs/>
          <w:sz w:val="24"/>
          <w:szCs w:val="24"/>
        </w:rPr>
        <w:t>s</w:t>
      </w:r>
      <w:r w:rsidR="0029780B" w:rsidRPr="0029780B">
        <w:rPr>
          <w:rFonts w:ascii="Times New Roman" w:hAnsi="Times New Roman" w:cs="Times New Roman"/>
          <w:iCs/>
          <w:sz w:val="24"/>
          <w:szCs w:val="24"/>
        </w:rPr>
        <w:t xml:space="preserve"> y amplio margen de apreciación </w:t>
      </w:r>
      <w:r w:rsidR="0029780B" w:rsidRPr="00957F1C">
        <w:rPr>
          <w:rFonts w:ascii="Times New Roman" w:hAnsi="Times New Roman" w:cs="Times New Roman"/>
          <w:iCs/>
          <w:sz w:val="24"/>
          <w:szCs w:val="24"/>
        </w:rPr>
        <w:t xml:space="preserve">nacional. </w:t>
      </w:r>
      <w:r w:rsidR="00957F1C" w:rsidRPr="00957F1C">
        <w:rPr>
          <w:rFonts w:ascii="Times New Roman" w:hAnsi="Times New Roman" w:cs="Times New Roman"/>
          <w:iCs/>
          <w:sz w:val="24"/>
          <w:szCs w:val="24"/>
        </w:rPr>
        <w:t xml:space="preserve">III. Un pequeño paso adelante en el reconocimiento de los derechos de las personas transexuales, entre muchas confirmaciones de los </w:t>
      </w:r>
      <w:r w:rsidR="00957F1C" w:rsidRPr="009D2232">
        <w:rPr>
          <w:rFonts w:ascii="Times New Roman" w:hAnsi="Times New Roman" w:cs="Times New Roman"/>
          <w:iCs/>
          <w:sz w:val="24"/>
          <w:szCs w:val="24"/>
        </w:rPr>
        <w:t xml:space="preserve">consolidados prejuicios hacia el colectivo trans. </w:t>
      </w:r>
      <w:r w:rsidR="00D33021" w:rsidRPr="009D2232">
        <w:rPr>
          <w:rFonts w:ascii="Times New Roman" w:hAnsi="Times New Roman" w:cs="Times New Roman"/>
          <w:iCs/>
          <w:sz w:val="24"/>
          <w:szCs w:val="24"/>
        </w:rPr>
        <w:t xml:space="preserve">IV. Una </w:t>
      </w:r>
      <w:r w:rsidR="00D33021" w:rsidRPr="009D2232">
        <w:rPr>
          <w:rFonts w:ascii="Times New Roman" w:hAnsi="Times New Roman" w:cs="Times New Roman"/>
          <w:iCs/>
          <w:sz w:val="24"/>
          <w:szCs w:val="24"/>
        </w:rPr>
        <w:lastRenderedPageBreak/>
        <w:t xml:space="preserve">modificación de la jurisprudencia destinada a ser consolidada: la sentencia de 11 de julio de 2002, asunto </w:t>
      </w:r>
      <w:r w:rsidR="00D33021" w:rsidRPr="009D2232">
        <w:rPr>
          <w:rFonts w:ascii="Times New Roman" w:hAnsi="Times New Roman" w:cs="Times New Roman"/>
          <w:i/>
          <w:iCs/>
          <w:sz w:val="24"/>
          <w:szCs w:val="24"/>
        </w:rPr>
        <w:t>Christine Goodwin c. Reino Unido</w:t>
      </w:r>
      <w:r w:rsidR="009D2232" w:rsidRPr="009D2232">
        <w:rPr>
          <w:rFonts w:ascii="Times New Roman" w:hAnsi="Times New Roman" w:cs="Times New Roman"/>
          <w:iCs/>
          <w:sz w:val="24"/>
          <w:szCs w:val="24"/>
        </w:rPr>
        <w:t>, y las demás decisiones de la primera década del siglo XXI.</w:t>
      </w:r>
      <w:r w:rsidR="00B0336D" w:rsidRPr="00B0336D">
        <w:t xml:space="preserve"> </w:t>
      </w:r>
      <w:r w:rsidR="00B0336D" w:rsidRPr="00B0336D">
        <w:rPr>
          <w:rFonts w:ascii="Times New Roman" w:hAnsi="Times New Roman" w:cs="Times New Roman"/>
          <w:iCs/>
          <w:sz w:val="24"/>
          <w:szCs w:val="24"/>
        </w:rPr>
        <w:t>V. El TEDH sigue intensificando la protección del colectivo transexual</w:t>
      </w:r>
      <w:r w:rsidR="00B0336D">
        <w:rPr>
          <w:rFonts w:ascii="Times New Roman" w:hAnsi="Times New Roman" w:cs="Times New Roman"/>
          <w:iCs/>
          <w:sz w:val="24"/>
          <w:szCs w:val="24"/>
        </w:rPr>
        <w:t xml:space="preserve">. </w:t>
      </w:r>
      <w:r w:rsidR="00B0336D" w:rsidRPr="00B0336D">
        <w:rPr>
          <w:rFonts w:ascii="Times New Roman" w:hAnsi="Times New Roman" w:cs="Times New Roman"/>
          <w:iCs/>
          <w:sz w:val="24"/>
          <w:szCs w:val="24"/>
        </w:rPr>
        <w:t xml:space="preserve">1. La creciente importancia del respeto de la integridad física de la persona trans. 2. El control </w:t>
      </w:r>
      <w:r w:rsidR="00411CBD" w:rsidRPr="00545A82">
        <w:rPr>
          <w:rFonts w:ascii="Times New Roman" w:hAnsi="Times New Roman" w:cs="Times New Roman"/>
          <w:iCs/>
          <w:sz w:val="24"/>
          <w:szCs w:val="24"/>
        </w:rPr>
        <w:t xml:space="preserve">por parte del Tribunal Europeo </w:t>
      </w:r>
      <w:r w:rsidR="00B0336D" w:rsidRPr="00545A82">
        <w:rPr>
          <w:rFonts w:ascii="Times New Roman" w:hAnsi="Times New Roman" w:cs="Times New Roman"/>
          <w:iCs/>
          <w:sz w:val="24"/>
          <w:szCs w:val="24"/>
        </w:rPr>
        <w:t>de los requisitos para obtener el cambio registral del sexo</w:t>
      </w:r>
      <w:r w:rsidR="00720E6B">
        <w:rPr>
          <w:rFonts w:ascii="Times New Roman" w:hAnsi="Times New Roman" w:cs="Times New Roman"/>
          <w:iCs/>
          <w:sz w:val="24"/>
          <w:szCs w:val="24"/>
        </w:rPr>
        <w:t xml:space="preserve"> </w:t>
      </w:r>
      <w:r w:rsidR="00720E6B" w:rsidRPr="00720E6B">
        <w:rPr>
          <w:rFonts w:ascii="Times New Roman" w:hAnsi="Times New Roman" w:cs="Times New Roman"/>
          <w:bCs/>
          <w:sz w:val="24"/>
          <w:szCs w:val="24"/>
        </w:rPr>
        <w:t>y ampliación de la protección también a las personas transexuales no operadas</w:t>
      </w:r>
      <w:r w:rsidR="00B0336D" w:rsidRPr="00720E6B">
        <w:rPr>
          <w:rFonts w:ascii="Times New Roman" w:hAnsi="Times New Roman" w:cs="Times New Roman"/>
          <w:iCs/>
          <w:sz w:val="24"/>
          <w:szCs w:val="24"/>
        </w:rPr>
        <w:t xml:space="preserve">. </w:t>
      </w:r>
      <w:r w:rsidR="00545A82" w:rsidRPr="00720E6B">
        <w:rPr>
          <w:rFonts w:ascii="Times New Roman" w:hAnsi="Times New Roman" w:cs="Times New Roman"/>
          <w:iCs/>
          <w:sz w:val="24"/>
          <w:szCs w:val="24"/>
        </w:rPr>
        <w:t>3. Protección</w:t>
      </w:r>
      <w:r w:rsidR="00545A82" w:rsidRPr="00545A82">
        <w:rPr>
          <w:rFonts w:ascii="Times New Roman" w:hAnsi="Times New Roman" w:cs="Times New Roman"/>
          <w:iCs/>
          <w:sz w:val="24"/>
          <w:szCs w:val="24"/>
        </w:rPr>
        <w:t xml:space="preserve"> de la integridad física de las personas transexuales y </w:t>
      </w:r>
      <w:r w:rsidR="00545A82" w:rsidRPr="00284595">
        <w:rPr>
          <w:rFonts w:ascii="Times New Roman" w:hAnsi="Times New Roman" w:cs="Times New Roman"/>
          <w:iCs/>
          <w:sz w:val="24"/>
          <w:szCs w:val="24"/>
        </w:rPr>
        <w:t xml:space="preserve">restricción del margen de apreciación nacional en el caso </w:t>
      </w:r>
      <w:r w:rsidR="00545A82" w:rsidRPr="00284595">
        <w:rPr>
          <w:rFonts w:ascii="Times New Roman" w:hAnsi="Times New Roman" w:cs="Times New Roman"/>
          <w:i/>
          <w:iCs/>
          <w:sz w:val="24"/>
          <w:szCs w:val="24"/>
        </w:rPr>
        <w:t xml:space="preserve">A.P., </w:t>
      </w:r>
      <w:proofErr w:type="spellStart"/>
      <w:r w:rsidR="00545A82" w:rsidRPr="00284595">
        <w:rPr>
          <w:rFonts w:ascii="Times New Roman" w:hAnsi="Times New Roman" w:cs="Times New Roman"/>
          <w:i/>
          <w:iCs/>
          <w:sz w:val="24"/>
          <w:szCs w:val="24"/>
        </w:rPr>
        <w:t>Garçon</w:t>
      </w:r>
      <w:proofErr w:type="spellEnd"/>
      <w:r w:rsidR="00545A82" w:rsidRPr="00284595">
        <w:rPr>
          <w:rFonts w:ascii="Times New Roman" w:hAnsi="Times New Roman" w:cs="Times New Roman"/>
          <w:i/>
          <w:iCs/>
          <w:sz w:val="24"/>
          <w:szCs w:val="24"/>
        </w:rPr>
        <w:t xml:space="preserve"> y </w:t>
      </w:r>
      <w:proofErr w:type="spellStart"/>
      <w:r w:rsidR="00545A82" w:rsidRPr="00284595">
        <w:rPr>
          <w:rFonts w:ascii="Times New Roman" w:hAnsi="Times New Roman" w:cs="Times New Roman"/>
          <w:i/>
          <w:iCs/>
          <w:sz w:val="24"/>
          <w:szCs w:val="24"/>
        </w:rPr>
        <w:t>Nicot</w:t>
      </w:r>
      <w:proofErr w:type="spellEnd"/>
      <w:r w:rsidR="00545A82" w:rsidRPr="00284595">
        <w:rPr>
          <w:rFonts w:ascii="Times New Roman" w:hAnsi="Times New Roman" w:cs="Times New Roman"/>
          <w:i/>
          <w:iCs/>
          <w:sz w:val="24"/>
          <w:szCs w:val="24"/>
        </w:rPr>
        <w:t xml:space="preserve"> c. Francia</w:t>
      </w:r>
      <w:r w:rsidR="00545A82" w:rsidRPr="00284595">
        <w:rPr>
          <w:rFonts w:ascii="Times New Roman" w:hAnsi="Times New Roman" w:cs="Times New Roman"/>
          <w:iCs/>
          <w:sz w:val="24"/>
          <w:szCs w:val="24"/>
        </w:rPr>
        <w:t xml:space="preserve">, de 2017. </w:t>
      </w:r>
      <w:r w:rsidR="00284595" w:rsidRPr="00284595">
        <w:rPr>
          <w:rFonts w:ascii="Times New Roman" w:hAnsi="Times New Roman" w:cs="Times New Roman"/>
          <w:iCs/>
          <w:sz w:val="24"/>
          <w:szCs w:val="24"/>
        </w:rPr>
        <w:t xml:space="preserve">4. El reconocimiento de nuevos requisitos durante el procedimiento de cambio </w:t>
      </w:r>
      <w:r w:rsidR="00284595" w:rsidRPr="002F6E4F">
        <w:rPr>
          <w:rFonts w:ascii="Times New Roman" w:hAnsi="Times New Roman" w:cs="Times New Roman"/>
          <w:iCs/>
          <w:sz w:val="24"/>
          <w:szCs w:val="24"/>
        </w:rPr>
        <w:t xml:space="preserve">registral de sexo: la necesidad de “rapidez, transparencia y accesibilidad”. </w:t>
      </w:r>
      <w:r w:rsidR="002F6E4F" w:rsidRPr="002F6E4F">
        <w:rPr>
          <w:rFonts w:ascii="Times New Roman" w:hAnsi="Times New Roman" w:cs="Times New Roman"/>
          <w:iCs/>
          <w:sz w:val="24"/>
          <w:szCs w:val="24"/>
        </w:rPr>
        <w:t xml:space="preserve">VI. La reciente sentencia </w:t>
      </w:r>
      <w:r w:rsidR="002F6E4F" w:rsidRPr="002F6E4F">
        <w:rPr>
          <w:rFonts w:ascii="Times New Roman" w:hAnsi="Times New Roman" w:cs="Times New Roman"/>
          <w:i/>
          <w:iCs/>
          <w:sz w:val="24"/>
          <w:szCs w:val="24"/>
        </w:rPr>
        <w:t xml:space="preserve">X. </w:t>
      </w:r>
      <w:proofErr w:type="spellStart"/>
      <w:r w:rsidR="002F6E4F" w:rsidRPr="002F6E4F">
        <w:rPr>
          <w:rFonts w:ascii="Times New Roman" w:hAnsi="Times New Roman" w:cs="Times New Roman"/>
          <w:i/>
          <w:iCs/>
          <w:sz w:val="24"/>
          <w:szCs w:val="24"/>
        </w:rPr>
        <w:t>e</w:t>
      </w:r>
      <w:proofErr w:type="spellEnd"/>
      <w:r w:rsidR="002F6E4F" w:rsidRPr="002F6E4F">
        <w:rPr>
          <w:rFonts w:ascii="Times New Roman" w:hAnsi="Times New Roman" w:cs="Times New Roman"/>
          <w:i/>
          <w:iCs/>
          <w:sz w:val="24"/>
          <w:szCs w:val="24"/>
        </w:rPr>
        <w:t xml:space="preserve"> Y. c. Rumania</w:t>
      </w:r>
      <w:r w:rsidR="002F6E4F" w:rsidRPr="002F6E4F">
        <w:rPr>
          <w:rFonts w:ascii="Times New Roman" w:hAnsi="Times New Roman" w:cs="Times New Roman"/>
          <w:iCs/>
          <w:sz w:val="24"/>
          <w:szCs w:val="24"/>
        </w:rPr>
        <w:t xml:space="preserve"> de 2021: ¿consolidación de avances importantes o prudencia excesiva por parte del Tribunal Europeo? VII. Consideraciones conclusivas.</w:t>
      </w:r>
      <w:r w:rsidR="002F6E4F">
        <w:rPr>
          <w:rFonts w:ascii="Times New Roman" w:hAnsi="Times New Roman" w:cs="Times New Roman"/>
          <w:b/>
          <w:iCs/>
          <w:sz w:val="24"/>
          <w:szCs w:val="24"/>
        </w:rPr>
        <w:t xml:space="preserve"> </w:t>
      </w:r>
    </w:p>
    <w:p w14:paraId="114C7093" w14:textId="3C87647E" w:rsidR="00D77EA3" w:rsidRPr="009D2232" w:rsidRDefault="00D77EA3" w:rsidP="006D3C51">
      <w:pPr>
        <w:spacing w:line="276" w:lineRule="auto"/>
        <w:jc w:val="both"/>
        <w:rPr>
          <w:rFonts w:ascii="Times New Roman" w:hAnsi="Times New Roman" w:cs="Times New Roman"/>
          <w:iCs/>
          <w:sz w:val="24"/>
          <w:szCs w:val="24"/>
        </w:rPr>
      </w:pPr>
    </w:p>
    <w:p w14:paraId="28E9DCE3" w14:textId="6FA4B049" w:rsidR="00D86CDE" w:rsidRPr="006D3C51" w:rsidRDefault="00632151" w:rsidP="00781D53">
      <w:pPr>
        <w:spacing w:after="0" w:line="276" w:lineRule="auto"/>
        <w:jc w:val="both"/>
        <w:rPr>
          <w:rFonts w:ascii="Times New Roman" w:hAnsi="Times New Roman" w:cs="Times New Roman"/>
          <w:b/>
          <w:iCs/>
          <w:sz w:val="24"/>
          <w:szCs w:val="24"/>
        </w:rPr>
      </w:pPr>
      <w:bookmarkStart w:id="1" w:name="_Hlk83719658"/>
      <w:r>
        <w:rPr>
          <w:rFonts w:ascii="Times New Roman" w:hAnsi="Times New Roman" w:cs="Times New Roman"/>
          <w:b/>
          <w:iCs/>
          <w:sz w:val="24"/>
          <w:szCs w:val="24"/>
        </w:rPr>
        <w:t xml:space="preserve">I. </w:t>
      </w:r>
      <w:r w:rsidR="00B34DA1" w:rsidRPr="00B34DA1">
        <w:rPr>
          <w:rFonts w:ascii="Times New Roman" w:hAnsi="Times New Roman" w:cs="Times New Roman"/>
          <w:b/>
          <w:iCs/>
          <w:sz w:val="24"/>
          <w:szCs w:val="24"/>
        </w:rPr>
        <w:t>Introducción</w:t>
      </w:r>
      <w:r w:rsidR="001077BA">
        <w:rPr>
          <w:rFonts w:ascii="Times New Roman" w:hAnsi="Times New Roman" w:cs="Times New Roman"/>
          <w:b/>
          <w:iCs/>
          <w:sz w:val="24"/>
          <w:szCs w:val="24"/>
        </w:rPr>
        <w:t>.</w:t>
      </w:r>
      <w:r w:rsidR="00B34DA1" w:rsidRPr="00B34DA1">
        <w:rPr>
          <w:rFonts w:ascii="Times New Roman" w:hAnsi="Times New Roman" w:cs="Times New Roman"/>
          <w:b/>
          <w:iCs/>
          <w:sz w:val="24"/>
          <w:szCs w:val="24"/>
        </w:rPr>
        <w:t xml:space="preserve"> </w:t>
      </w:r>
    </w:p>
    <w:bookmarkEnd w:id="1"/>
    <w:p w14:paraId="64498218" w14:textId="77777777" w:rsidR="00781D53" w:rsidRDefault="00781D53" w:rsidP="00781D53">
      <w:pPr>
        <w:spacing w:after="0" w:line="276" w:lineRule="auto"/>
        <w:jc w:val="both"/>
        <w:rPr>
          <w:rFonts w:ascii="Times New Roman" w:hAnsi="Times New Roman" w:cs="Times New Roman"/>
          <w:iCs/>
          <w:sz w:val="24"/>
          <w:szCs w:val="24"/>
        </w:rPr>
      </w:pPr>
    </w:p>
    <w:p w14:paraId="1856364D" w14:textId="4EA9D47C" w:rsidR="005654B2" w:rsidRPr="006D3C51" w:rsidRDefault="00B9562D" w:rsidP="00781D53">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La trascendencia del</w:t>
      </w:r>
      <w:r w:rsidR="00D86CDE" w:rsidRPr="006D3C51">
        <w:rPr>
          <w:rFonts w:ascii="Times New Roman" w:hAnsi="Times New Roman" w:cs="Times New Roman"/>
          <w:iCs/>
          <w:sz w:val="24"/>
          <w:szCs w:val="24"/>
        </w:rPr>
        <w:t xml:space="preserve"> </w:t>
      </w:r>
      <w:bookmarkStart w:id="2" w:name="_Hlk101302810"/>
      <w:r w:rsidR="00D86CDE" w:rsidRPr="006D3C51">
        <w:rPr>
          <w:rFonts w:ascii="Times New Roman" w:hAnsi="Times New Roman" w:cs="Times New Roman"/>
          <w:iCs/>
          <w:sz w:val="24"/>
          <w:szCs w:val="24"/>
        </w:rPr>
        <w:t xml:space="preserve">rol del Tribunal Europeo de Derechos Humanos (TEDH) en la construcción y difusión de una </w:t>
      </w:r>
      <w:r w:rsidR="00FE1902">
        <w:rPr>
          <w:rFonts w:ascii="Times New Roman" w:hAnsi="Times New Roman" w:cs="Times New Roman"/>
          <w:iCs/>
          <w:sz w:val="24"/>
          <w:szCs w:val="24"/>
        </w:rPr>
        <w:t>“</w:t>
      </w:r>
      <w:r w:rsidR="00D86CDE" w:rsidRPr="006D3C51">
        <w:rPr>
          <w:rFonts w:ascii="Times New Roman" w:hAnsi="Times New Roman" w:cs="Times New Roman"/>
          <w:iCs/>
          <w:sz w:val="24"/>
          <w:szCs w:val="24"/>
        </w:rPr>
        <w:t>cultura</w:t>
      </w:r>
      <w:r w:rsidR="00FE1902">
        <w:rPr>
          <w:rFonts w:ascii="Times New Roman" w:hAnsi="Times New Roman" w:cs="Times New Roman"/>
          <w:iCs/>
          <w:sz w:val="24"/>
          <w:szCs w:val="24"/>
        </w:rPr>
        <w:t>”</w:t>
      </w:r>
      <w:r w:rsidR="00D86CDE" w:rsidRPr="006D3C51">
        <w:rPr>
          <w:rFonts w:ascii="Times New Roman" w:hAnsi="Times New Roman" w:cs="Times New Roman"/>
          <w:iCs/>
          <w:sz w:val="24"/>
          <w:szCs w:val="24"/>
        </w:rPr>
        <w:t xml:space="preserve"> </w:t>
      </w:r>
      <w:r w:rsidR="00F3381F" w:rsidRPr="006D3C51">
        <w:rPr>
          <w:rFonts w:ascii="Times New Roman" w:hAnsi="Times New Roman" w:cs="Times New Roman"/>
          <w:iCs/>
          <w:sz w:val="24"/>
          <w:szCs w:val="24"/>
        </w:rPr>
        <w:t>de</w:t>
      </w:r>
      <w:r w:rsidR="00D86CDE" w:rsidRPr="006D3C51">
        <w:rPr>
          <w:rFonts w:ascii="Times New Roman" w:hAnsi="Times New Roman" w:cs="Times New Roman"/>
          <w:iCs/>
          <w:sz w:val="24"/>
          <w:szCs w:val="24"/>
        </w:rPr>
        <w:t xml:space="preserve"> protección de los derechos es incuestionable. </w:t>
      </w:r>
      <w:bookmarkEnd w:id="2"/>
    </w:p>
    <w:p w14:paraId="1BF8095E" w14:textId="01E27C01" w:rsidR="005654B2" w:rsidRPr="006D3C51" w:rsidRDefault="00280EC7" w:rsidP="00781D53">
      <w:pPr>
        <w:spacing w:after="0" w:line="276" w:lineRule="auto"/>
        <w:jc w:val="both"/>
        <w:rPr>
          <w:rFonts w:ascii="Times New Roman" w:hAnsi="Times New Roman" w:cs="Times New Roman"/>
          <w:iCs/>
          <w:sz w:val="24"/>
          <w:szCs w:val="24"/>
        </w:rPr>
      </w:pPr>
      <w:r w:rsidRPr="006D3C51">
        <w:rPr>
          <w:rFonts w:ascii="Times New Roman" w:hAnsi="Times New Roman" w:cs="Times New Roman"/>
          <w:iCs/>
          <w:sz w:val="24"/>
          <w:szCs w:val="24"/>
        </w:rPr>
        <w:t xml:space="preserve">Las jurisdicciones nacionales </w:t>
      </w:r>
      <w:r w:rsidR="005654B2" w:rsidRPr="006D3C51">
        <w:rPr>
          <w:rFonts w:ascii="Times New Roman" w:hAnsi="Times New Roman" w:cs="Times New Roman"/>
          <w:iCs/>
          <w:sz w:val="24"/>
          <w:szCs w:val="24"/>
        </w:rPr>
        <w:t>del entorno europeo y también los tribunales de otras organizaciones supranacionales</w:t>
      </w:r>
      <w:r w:rsidR="00047ED4" w:rsidRPr="006D3C51">
        <w:rPr>
          <w:rFonts w:ascii="Times New Roman" w:hAnsi="Times New Roman" w:cs="Times New Roman"/>
          <w:iCs/>
          <w:sz w:val="24"/>
          <w:szCs w:val="24"/>
        </w:rPr>
        <w:t>,</w:t>
      </w:r>
      <w:r w:rsidR="005654B2" w:rsidRPr="006D3C51">
        <w:rPr>
          <w:rFonts w:ascii="Times New Roman" w:hAnsi="Times New Roman" w:cs="Times New Roman"/>
          <w:iCs/>
          <w:sz w:val="24"/>
          <w:szCs w:val="24"/>
        </w:rPr>
        <w:t xml:space="preserve"> como el Tribunal de Justicia de la Unión Europea o la Corte Interamericana de los Derechos Humanos</w:t>
      </w:r>
      <w:r w:rsidR="00047ED4" w:rsidRPr="006D3C51">
        <w:rPr>
          <w:rFonts w:ascii="Times New Roman" w:hAnsi="Times New Roman" w:cs="Times New Roman"/>
          <w:iCs/>
          <w:sz w:val="24"/>
          <w:szCs w:val="24"/>
        </w:rPr>
        <w:t>,</w:t>
      </w:r>
      <w:r w:rsidR="005654B2" w:rsidRPr="006D3C51">
        <w:rPr>
          <w:rFonts w:ascii="Times New Roman" w:hAnsi="Times New Roman" w:cs="Times New Roman"/>
          <w:iCs/>
          <w:sz w:val="24"/>
          <w:szCs w:val="24"/>
        </w:rPr>
        <w:t xml:space="preserve"> incorporan en su jurisprudencia la doctrina sentada por el Tribunal Europeo en materia de tutela de derechos. </w:t>
      </w:r>
    </w:p>
    <w:p w14:paraId="7EE5E9A0" w14:textId="158C23FB" w:rsidR="00D86CDE" w:rsidRPr="006D3C51" w:rsidRDefault="005654B2" w:rsidP="00781D53">
      <w:pPr>
        <w:spacing w:after="0" w:line="276" w:lineRule="auto"/>
        <w:jc w:val="both"/>
        <w:rPr>
          <w:rFonts w:ascii="Times New Roman" w:hAnsi="Times New Roman" w:cs="Times New Roman"/>
          <w:iCs/>
          <w:sz w:val="24"/>
          <w:szCs w:val="24"/>
        </w:rPr>
      </w:pPr>
      <w:r w:rsidRPr="006D3C51">
        <w:rPr>
          <w:rFonts w:ascii="Times New Roman" w:hAnsi="Times New Roman" w:cs="Times New Roman"/>
          <w:iCs/>
          <w:sz w:val="24"/>
          <w:szCs w:val="24"/>
        </w:rPr>
        <w:t>Asimismo, las decisiones del TEDH son fuente de inspiración para las actuaciones de los órganos legislativos nacionales, en particular cuando el Estado en cuestión haya recibido una o más condenas por parte del Tribunal de Estrasburgo</w:t>
      </w:r>
      <w:r w:rsidRPr="006D3C51">
        <w:rPr>
          <w:rStyle w:val="Refdenotaalpie"/>
          <w:rFonts w:ascii="Times New Roman" w:hAnsi="Times New Roman" w:cs="Times New Roman"/>
          <w:iCs/>
          <w:sz w:val="24"/>
          <w:szCs w:val="24"/>
        </w:rPr>
        <w:footnoteReference w:id="1"/>
      </w:r>
      <w:r w:rsidRPr="006D3C51">
        <w:rPr>
          <w:rFonts w:ascii="Times New Roman" w:hAnsi="Times New Roman" w:cs="Times New Roman"/>
          <w:iCs/>
          <w:sz w:val="24"/>
          <w:szCs w:val="24"/>
        </w:rPr>
        <w:t xml:space="preserve">. </w:t>
      </w:r>
    </w:p>
    <w:p w14:paraId="3C4D1CF1" w14:textId="33D6798B" w:rsidR="005654B2" w:rsidRPr="006D3C51" w:rsidRDefault="004E2BAE" w:rsidP="00781D53">
      <w:pPr>
        <w:spacing w:after="0" w:line="276" w:lineRule="auto"/>
        <w:jc w:val="both"/>
        <w:rPr>
          <w:rFonts w:ascii="Times New Roman" w:hAnsi="Times New Roman" w:cs="Times New Roman"/>
          <w:iCs/>
          <w:sz w:val="24"/>
          <w:szCs w:val="24"/>
        </w:rPr>
      </w:pPr>
      <w:r w:rsidRPr="006D3C51">
        <w:rPr>
          <w:rFonts w:ascii="Times New Roman" w:hAnsi="Times New Roman" w:cs="Times New Roman"/>
          <w:iCs/>
          <w:sz w:val="24"/>
          <w:szCs w:val="24"/>
        </w:rPr>
        <w:t xml:space="preserve">Por todo ello, conocer, analizar y difundir los contenidos de la jurisprudencia del Tribunal Europeo constituyen unos pasos fundamentales para promover </w:t>
      </w:r>
      <w:r w:rsidR="002B4E19" w:rsidRPr="006D3C51">
        <w:rPr>
          <w:rFonts w:ascii="Times New Roman" w:hAnsi="Times New Roman" w:cs="Times New Roman"/>
          <w:iCs/>
          <w:sz w:val="24"/>
          <w:szCs w:val="24"/>
        </w:rPr>
        <w:t>un efectivo avance en la protección de los derechos de las personas y los colectivos</w:t>
      </w:r>
      <w:r w:rsidR="009F3530">
        <w:rPr>
          <w:rFonts w:ascii="Times New Roman" w:hAnsi="Times New Roman" w:cs="Times New Roman"/>
          <w:iCs/>
          <w:sz w:val="24"/>
          <w:szCs w:val="24"/>
        </w:rPr>
        <w:t>,</w:t>
      </w:r>
      <w:r w:rsidR="002B4E19" w:rsidRPr="006D3C51">
        <w:rPr>
          <w:rFonts w:ascii="Times New Roman" w:hAnsi="Times New Roman" w:cs="Times New Roman"/>
          <w:iCs/>
          <w:sz w:val="24"/>
          <w:szCs w:val="24"/>
        </w:rPr>
        <w:t xml:space="preserve"> y para impulsar los poderes públicos nacionales a actuar conforme a unos estándares mínimos</w:t>
      </w:r>
      <w:r w:rsidR="00206220" w:rsidRPr="006D3C51">
        <w:rPr>
          <w:rFonts w:ascii="Times New Roman" w:hAnsi="Times New Roman" w:cs="Times New Roman"/>
          <w:iCs/>
          <w:sz w:val="24"/>
          <w:szCs w:val="24"/>
        </w:rPr>
        <w:t xml:space="preserve"> comunes</w:t>
      </w:r>
      <w:r w:rsidR="002B4E19" w:rsidRPr="006D3C51">
        <w:rPr>
          <w:rFonts w:ascii="Times New Roman" w:hAnsi="Times New Roman" w:cs="Times New Roman"/>
          <w:iCs/>
          <w:sz w:val="24"/>
          <w:szCs w:val="24"/>
        </w:rPr>
        <w:t xml:space="preserve"> de tutela de esos derechos. </w:t>
      </w:r>
    </w:p>
    <w:p w14:paraId="4240975C" w14:textId="79FFA76D" w:rsidR="00C361FC" w:rsidRPr="006D3C51" w:rsidRDefault="00C361FC" w:rsidP="00781D53">
      <w:pPr>
        <w:spacing w:after="0" w:line="276" w:lineRule="auto"/>
        <w:jc w:val="both"/>
        <w:rPr>
          <w:rFonts w:ascii="Times New Roman" w:hAnsi="Times New Roman" w:cs="Times New Roman"/>
          <w:iCs/>
          <w:sz w:val="24"/>
          <w:szCs w:val="24"/>
        </w:rPr>
      </w:pPr>
      <w:r w:rsidRPr="006D3C51">
        <w:rPr>
          <w:rFonts w:ascii="Times New Roman" w:hAnsi="Times New Roman" w:cs="Times New Roman"/>
          <w:iCs/>
          <w:sz w:val="24"/>
          <w:szCs w:val="24"/>
        </w:rPr>
        <w:t>Por tanto, el propósito de este trabajo es examinar un ámbito espec</w:t>
      </w:r>
      <w:r w:rsidR="00486E6C">
        <w:rPr>
          <w:rFonts w:ascii="Times New Roman" w:hAnsi="Times New Roman" w:cs="Times New Roman"/>
          <w:iCs/>
          <w:sz w:val="24"/>
          <w:szCs w:val="24"/>
        </w:rPr>
        <w:t>í</w:t>
      </w:r>
      <w:r w:rsidRPr="006D3C51">
        <w:rPr>
          <w:rFonts w:ascii="Times New Roman" w:hAnsi="Times New Roman" w:cs="Times New Roman"/>
          <w:iCs/>
          <w:sz w:val="24"/>
          <w:szCs w:val="24"/>
        </w:rPr>
        <w:t xml:space="preserve">fico de intervención del Tribunal Europeo, esto es, la protección de los derechos de las personas transexuales ante la negativa de los poderes públicos nacionales a la autorización del cambio registral del sexo, con la finalidad de </w:t>
      </w:r>
      <w:r w:rsidR="007376BE" w:rsidRPr="006D3C51">
        <w:rPr>
          <w:rFonts w:ascii="Times New Roman" w:hAnsi="Times New Roman" w:cs="Times New Roman"/>
          <w:iCs/>
          <w:sz w:val="24"/>
          <w:szCs w:val="24"/>
        </w:rPr>
        <w:t xml:space="preserve">deducir y difundir las normas comunes mínimas de protección del colectivo trans fijadas por la jurisprudencia del TEDH. </w:t>
      </w:r>
    </w:p>
    <w:p w14:paraId="2BD5CF62" w14:textId="20BEE1EC" w:rsidR="00E7619D" w:rsidRPr="006D3C51" w:rsidRDefault="007376BE" w:rsidP="00781D53">
      <w:pPr>
        <w:spacing w:after="0" w:line="276" w:lineRule="auto"/>
        <w:jc w:val="both"/>
        <w:rPr>
          <w:rFonts w:ascii="Times New Roman" w:hAnsi="Times New Roman" w:cs="Times New Roman"/>
          <w:iCs/>
          <w:sz w:val="24"/>
          <w:szCs w:val="24"/>
        </w:rPr>
      </w:pPr>
      <w:r w:rsidRPr="006D3C51">
        <w:rPr>
          <w:rFonts w:ascii="Times New Roman" w:hAnsi="Times New Roman" w:cs="Times New Roman"/>
          <w:iCs/>
          <w:sz w:val="24"/>
          <w:szCs w:val="24"/>
        </w:rPr>
        <w:t xml:space="preserve">El análisis, asimismo, pretende demostrar que, pese a que muchos </w:t>
      </w:r>
      <w:r w:rsidR="00E7619D" w:rsidRPr="006D3C51">
        <w:rPr>
          <w:rFonts w:ascii="Times New Roman" w:hAnsi="Times New Roman" w:cs="Times New Roman"/>
          <w:iCs/>
          <w:sz w:val="24"/>
          <w:szCs w:val="24"/>
        </w:rPr>
        <w:t xml:space="preserve">de los asuntos </w:t>
      </w:r>
      <w:r w:rsidRPr="006D3C51">
        <w:rPr>
          <w:rFonts w:ascii="Times New Roman" w:hAnsi="Times New Roman" w:cs="Times New Roman"/>
          <w:iCs/>
          <w:sz w:val="24"/>
          <w:szCs w:val="24"/>
        </w:rPr>
        <w:t>examinados</w:t>
      </w:r>
      <w:r w:rsidR="00E7619D" w:rsidRPr="006D3C51">
        <w:rPr>
          <w:rFonts w:ascii="Times New Roman" w:hAnsi="Times New Roman" w:cs="Times New Roman"/>
          <w:iCs/>
          <w:sz w:val="24"/>
          <w:szCs w:val="24"/>
        </w:rPr>
        <w:t xml:space="preserve"> tienen elementos en común, la respuesta del T</w:t>
      </w:r>
      <w:r w:rsidRPr="006D3C51">
        <w:rPr>
          <w:rFonts w:ascii="Times New Roman" w:hAnsi="Times New Roman" w:cs="Times New Roman"/>
          <w:iCs/>
          <w:sz w:val="24"/>
          <w:szCs w:val="24"/>
        </w:rPr>
        <w:t>ribunal de Estrasburgo</w:t>
      </w:r>
      <w:r w:rsidR="00E7619D" w:rsidRPr="006D3C51">
        <w:rPr>
          <w:rFonts w:ascii="Times New Roman" w:hAnsi="Times New Roman" w:cs="Times New Roman"/>
          <w:iCs/>
          <w:sz w:val="24"/>
          <w:szCs w:val="24"/>
        </w:rPr>
        <w:t xml:space="preserve"> </w:t>
      </w:r>
      <w:r w:rsidRPr="006D3C51">
        <w:rPr>
          <w:rFonts w:ascii="Times New Roman" w:hAnsi="Times New Roman" w:cs="Times New Roman"/>
          <w:iCs/>
          <w:sz w:val="24"/>
          <w:szCs w:val="24"/>
        </w:rPr>
        <w:t xml:space="preserve">ha </w:t>
      </w:r>
      <w:r w:rsidRPr="006D3C51">
        <w:rPr>
          <w:rFonts w:ascii="Times New Roman" w:hAnsi="Times New Roman" w:cs="Times New Roman"/>
          <w:iCs/>
          <w:sz w:val="24"/>
          <w:szCs w:val="24"/>
        </w:rPr>
        <w:lastRenderedPageBreak/>
        <w:t>evolucionado</w:t>
      </w:r>
      <w:r w:rsidR="00E7619D" w:rsidRPr="006D3C51">
        <w:rPr>
          <w:rFonts w:ascii="Times New Roman" w:hAnsi="Times New Roman" w:cs="Times New Roman"/>
          <w:iCs/>
          <w:sz w:val="24"/>
          <w:szCs w:val="24"/>
        </w:rPr>
        <w:t xml:space="preserve"> </w:t>
      </w:r>
      <w:r w:rsidR="000D23BC" w:rsidRPr="006D3C51">
        <w:rPr>
          <w:rFonts w:ascii="Times New Roman" w:hAnsi="Times New Roman" w:cs="Times New Roman"/>
          <w:iCs/>
          <w:sz w:val="24"/>
          <w:szCs w:val="24"/>
        </w:rPr>
        <w:t xml:space="preserve">paulatinamente </w:t>
      </w:r>
      <w:r w:rsidR="00E7619D" w:rsidRPr="006D3C51">
        <w:rPr>
          <w:rFonts w:ascii="Times New Roman" w:hAnsi="Times New Roman" w:cs="Times New Roman"/>
          <w:iCs/>
          <w:sz w:val="24"/>
          <w:szCs w:val="24"/>
        </w:rPr>
        <w:t>en los años</w:t>
      </w:r>
      <w:r w:rsidRPr="006D3C51">
        <w:rPr>
          <w:rFonts w:ascii="Times New Roman" w:hAnsi="Times New Roman" w:cs="Times New Roman"/>
          <w:iCs/>
          <w:sz w:val="24"/>
          <w:szCs w:val="24"/>
        </w:rPr>
        <w:t xml:space="preserve">, en la dirección de un mayor reconocimiento de las garantías del derecho a la identidad sexual. </w:t>
      </w:r>
    </w:p>
    <w:p w14:paraId="27D7FAAE" w14:textId="10CD6925" w:rsidR="002C57B1" w:rsidRPr="006D3C51" w:rsidRDefault="007376BE" w:rsidP="00781D53">
      <w:pPr>
        <w:spacing w:after="0" w:line="276" w:lineRule="auto"/>
        <w:jc w:val="both"/>
        <w:rPr>
          <w:rFonts w:ascii="Times New Roman" w:hAnsi="Times New Roman" w:cs="Times New Roman"/>
          <w:iCs/>
          <w:sz w:val="24"/>
          <w:szCs w:val="24"/>
        </w:rPr>
      </w:pPr>
      <w:r w:rsidRPr="006D3C51">
        <w:rPr>
          <w:rFonts w:ascii="Times New Roman" w:hAnsi="Times New Roman" w:cs="Times New Roman"/>
          <w:iCs/>
          <w:sz w:val="24"/>
          <w:szCs w:val="24"/>
        </w:rPr>
        <w:t>La mayoría de l</w:t>
      </w:r>
      <w:r w:rsidR="00E7619D" w:rsidRPr="006D3C51">
        <w:rPr>
          <w:rFonts w:ascii="Times New Roman" w:hAnsi="Times New Roman" w:cs="Times New Roman"/>
          <w:iCs/>
          <w:sz w:val="24"/>
          <w:szCs w:val="24"/>
        </w:rPr>
        <w:t>as quejas presentadas ante el T</w:t>
      </w:r>
      <w:r w:rsidRPr="006D3C51">
        <w:rPr>
          <w:rFonts w:ascii="Times New Roman" w:hAnsi="Times New Roman" w:cs="Times New Roman"/>
          <w:iCs/>
          <w:sz w:val="24"/>
          <w:szCs w:val="24"/>
        </w:rPr>
        <w:t xml:space="preserve">EDH </w:t>
      </w:r>
      <w:r w:rsidR="002C57B1" w:rsidRPr="006D3C51">
        <w:rPr>
          <w:rFonts w:ascii="Times New Roman" w:hAnsi="Times New Roman" w:cs="Times New Roman"/>
          <w:iCs/>
          <w:sz w:val="24"/>
          <w:szCs w:val="24"/>
        </w:rPr>
        <w:t xml:space="preserve">tienen que ver con la supuesta violación del derecho al respeto de la vida privada </w:t>
      </w:r>
      <w:r w:rsidR="002C57B1" w:rsidRPr="006D3C51">
        <w:rPr>
          <w:rFonts w:ascii="Times New Roman" w:hAnsi="Times New Roman" w:cs="Times New Roman"/>
          <w:i/>
          <w:iCs/>
          <w:sz w:val="24"/>
          <w:szCs w:val="24"/>
        </w:rPr>
        <w:t>ex</w:t>
      </w:r>
      <w:r w:rsidR="002C57B1" w:rsidRPr="006D3C51">
        <w:rPr>
          <w:rFonts w:ascii="Times New Roman" w:hAnsi="Times New Roman" w:cs="Times New Roman"/>
          <w:iCs/>
          <w:sz w:val="24"/>
          <w:szCs w:val="24"/>
        </w:rPr>
        <w:t xml:space="preserve"> art. 8 CEDH en razón de la negativa del Estado demandado de modificar la identificación del sexo del solicitante en los registros civiles, para adecuarla a la verdadera identidad sexual de la persona transexual. </w:t>
      </w:r>
    </w:p>
    <w:p w14:paraId="0BB836D6" w14:textId="47E9866E" w:rsidR="00E7619D" w:rsidRPr="006D3C51" w:rsidRDefault="002C57B1" w:rsidP="00781D53">
      <w:pPr>
        <w:spacing w:after="0" w:line="276" w:lineRule="auto"/>
        <w:jc w:val="both"/>
        <w:rPr>
          <w:rFonts w:ascii="Times New Roman" w:hAnsi="Times New Roman" w:cs="Times New Roman"/>
          <w:iCs/>
          <w:sz w:val="24"/>
          <w:szCs w:val="24"/>
        </w:rPr>
      </w:pPr>
      <w:r w:rsidRPr="006D3C51">
        <w:rPr>
          <w:rFonts w:ascii="Times New Roman" w:hAnsi="Times New Roman" w:cs="Times New Roman"/>
          <w:iCs/>
          <w:sz w:val="24"/>
          <w:szCs w:val="24"/>
        </w:rPr>
        <w:t xml:space="preserve">En algunas ocasiones, los demandantes alegaron también que la situación provocada por la negativa de las autoridades de adaptar el sexo registral a su identidad sexual ocasionaba </w:t>
      </w:r>
      <w:r w:rsidR="009F3530">
        <w:rPr>
          <w:rFonts w:ascii="Times New Roman" w:hAnsi="Times New Roman" w:cs="Times New Roman"/>
          <w:iCs/>
          <w:sz w:val="24"/>
          <w:szCs w:val="24"/>
        </w:rPr>
        <w:t>asimismo</w:t>
      </w:r>
      <w:r w:rsidRPr="006D3C51">
        <w:rPr>
          <w:rFonts w:ascii="Times New Roman" w:hAnsi="Times New Roman" w:cs="Times New Roman"/>
          <w:iCs/>
          <w:sz w:val="24"/>
          <w:szCs w:val="24"/>
        </w:rPr>
        <w:t xml:space="preserve"> la violación del art. 3 CEDH (prohibición de tortura y tratos inhumanos o degradantes), y/o del art. 12 CEDH (derecho al matrimonio), porque, al no poder cambiar de sexo, la persona transexual no podía casarse con una persona del sexo opuesto (pues en los documentos oficiales los demandantes seguían identificándose con el sexo biológico, que terminaba por corresponder con el </w:t>
      </w:r>
      <w:r w:rsidR="009F3530">
        <w:rPr>
          <w:rFonts w:ascii="Times New Roman" w:hAnsi="Times New Roman" w:cs="Times New Roman"/>
          <w:iCs/>
          <w:sz w:val="24"/>
          <w:szCs w:val="24"/>
        </w:rPr>
        <w:t xml:space="preserve">sexo </w:t>
      </w:r>
      <w:r w:rsidRPr="006D3C51">
        <w:rPr>
          <w:rFonts w:ascii="Times New Roman" w:hAnsi="Times New Roman" w:cs="Times New Roman"/>
          <w:iCs/>
          <w:sz w:val="24"/>
          <w:szCs w:val="24"/>
        </w:rPr>
        <w:t xml:space="preserve">del potencial futuro cónyuge).  </w:t>
      </w:r>
    </w:p>
    <w:p w14:paraId="4D2E007A" w14:textId="36B29D5C" w:rsidR="00C02E22" w:rsidRPr="006D3C51" w:rsidRDefault="00C02E22" w:rsidP="00781D53">
      <w:pPr>
        <w:spacing w:after="0" w:line="276" w:lineRule="auto"/>
        <w:jc w:val="both"/>
        <w:rPr>
          <w:rFonts w:ascii="Times New Roman" w:hAnsi="Times New Roman" w:cs="Times New Roman"/>
          <w:iCs/>
          <w:sz w:val="24"/>
          <w:szCs w:val="24"/>
        </w:rPr>
      </w:pPr>
      <w:r w:rsidRPr="006D3C51">
        <w:rPr>
          <w:rFonts w:ascii="Times New Roman" w:hAnsi="Times New Roman" w:cs="Times New Roman"/>
          <w:iCs/>
          <w:sz w:val="24"/>
          <w:szCs w:val="24"/>
        </w:rPr>
        <w:t>Las afirmaciones de mayor interés para este trabajo han sido emitidas por el TEDH en ocasión, casi siempre, de la resolución de la supuesta violación del art. 8 CEDH, dado que las quejas relativas a los arts. 3 y 12 CEDH han sido desestimadas en muchas ocasiones</w:t>
      </w:r>
      <w:r w:rsidRPr="006D3C51">
        <w:rPr>
          <w:rStyle w:val="Refdenotaalpie"/>
          <w:rFonts w:ascii="Times New Roman" w:hAnsi="Times New Roman" w:cs="Times New Roman"/>
          <w:iCs/>
          <w:sz w:val="24"/>
          <w:szCs w:val="24"/>
        </w:rPr>
        <w:footnoteReference w:id="2"/>
      </w:r>
      <w:r w:rsidRPr="006D3C51">
        <w:rPr>
          <w:rFonts w:ascii="Times New Roman" w:hAnsi="Times New Roman" w:cs="Times New Roman"/>
          <w:iCs/>
          <w:sz w:val="24"/>
          <w:szCs w:val="24"/>
        </w:rPr>
        <w:t xml:space="preserve">.  </w:t>
      </w:r>
    </w:p>
    <w:p w14:paraId="5246011F" w14:textId="4EC76F98" w:rsidR="00C516C2" w:rsidRPr="006D3C51" w:rsidRDefault="00C516C2" w:rsidP="00781D53">
      <w:pPr>
        <w:spacing w:after="0" w:line="276" w:lineRule="auto"/>
        <w:jc w:val="both"/>
        <w:rPr>
          <w:rFonts w:ascii="Times New Roman" w:hAnsi="Times New Roman" w:cs="Times New Roman"/>
          <w:iCs/>
          <w:sz w:val="24"/>
          <w:szCs w:val="24"/>
        </w:rPr>
      </w:pPr>
      <w:r w:rsidRPr="006D3C51">
        <w:rPr>
          <w:rFonts w:ascii="Times New Roman" w:hAnsi="Times New Roman" w:cs="Times New Roman"/>
          <w:iCs/>
          <w:sz w:val="24"/>
          <w:szCs w:val="24"/>
        </w:rPr>
        <w:t xml:space="preserve">Será interesante y de utilidad tener en cuenta la progresión llevada a cabo por la jurisdicción europea respecto de los contenidos </w:t>
      </w:r>
      <w:r w:rsidR="00AF0C2E" w:rsidRPr="006D3C51">
        <w:rPr>
          <w:rFonts w:ascii="Times New Roman" w:hAnsi="Times New Roman" w:cs="Times New Roman"/>
          <w:iCs/>
          <w:sz w:val="24"/>
          <w:szCs w:val="24"/>
        </w:rPr>
        <w:t>del derecho al respeto de la vida privada en materia de protección de las personas transexuales</w:t>
      </w:r>
      <w:r w:rsidR="0030132E" w:rsidRPr="006D3C51">
        <w:rPr>
          <w:rFonts w:ascii="Times New Roman" w:hAnsi="Times New Roman" w:cs="Times New Roman"/>
          <w:iCs/>
          <w:sz w:val="24"/>
          <w:szCs w:val="24"/>
        </w:rPr>
        <w:t>, así como la progresiva reducción del margen de apreciación nacional en asunto que conciernen a</w:t>
      </w:r>
      <w:r w:rsidR="00C02E22" w:rsidRPr="006D3C51">
        <w:rPr>
          <w:rFonts w:ascii="Times New Roman" w:hAnsi="Times New Roman" w:cs="Times New Roman"/>
          <w:iCs/>
          <w:sz w:val="24"/>
          <w:szCs w:val="24"/>
        </w:rPr>
        <w:t>l</w:t>
      </w:r>
      <w:r w:rsidR="0030132E" w:rsidRPr="006D3C51">
        <w:rPr>
          <w:rFonts w:ascii="Times New Roman" w:hAnsi="Times New Roman" w:cs="Times New Roman"/>
          <w:iCs/>
          <w:sz w:val="24"/>
          <w:szCs w:val="24"/>
        </w:rPr>
        <w:t xml:space="preserve"> </w:t>
      </w:r>
      <w:r w:rsidR="00C02E22" w:rsidRPr="006D3C51">
        <w:rPr>
          <w:rFonts w:ascii="Times New Roman" w:hAnsi="Times New Roman" w:cs="Times New Roman"/>
          <w:iCs/>
          <w:sz w:val="24"/>
          <w:szCs w:val="24"/>
        </w:rPr>
        <w:t>reconocimiento de la identidad sexual en los registros civiles</w:t>
      </w:r>
      <w:r w:rsidR="006F0F9B">
        <w:rPr>
          <w:rStyle w:val="Refdenotaalpie"/>
          <w:rFonts w:ascii="Times New Roman" w:hAnsi="Times New Roman" w:cs="Times New Roman"/>
          <w:iCs/>
          <w:sz w:val="24"/>
          <w:szCs w:val="24"/>
        </w:rPr>
        <w:footnoteReference w:id="3"/>
      </w:r>
      <w:r w:rsidR="00C02E22" w:rsidRPr="006D3C51">
        <w:rPr>
          <w:rFonts w:ascii="Times New Roman" w:hAnsi="Times New Roman" w:cs="Times New Roman"/>
          <w:iCs/>
          <w:sz w:val="24"/>
          <w:szCs w:val="24"/>
        </w:rPr>
        <w:t xml:space="preserve">. </w:t>
      </w:r>
    </w:p>
    <w:p w14:paraId="075B2309" w14:textId="77777777" w:rsidR="006702E0" w:rsidRPr="006D3C51" w:rsidRDefault="006702E0" w:rsidP="00781D53">
      <w:pPr>
        <w:spacing w:after="0" w:line="276" w:lineRule="auto"/>
        <w:jc w:val="both"/>
        <w:rPr>
          <w:rFonts w:ascii="Times New Roman" w:hAnsi="Times New Roman" w:cs="Times New Roman"/>
          <w:iCs/>
          <w:sz w:val="24"/>
          <w:szCs w:val="24"/>
        </w:rPr>
      </w:pPr>
    </w:p>
    <w:p w14:paraId="70E48548" w14:textId="1C575FBE" w:rsidR="00DD38E3" w:rsidRPr="006D3C51" w:rsidRDefault="0017578F" w:rsidP="00781D53">
      <w:pPr>
        <w:spacing w:after="0" w:line="276" w:lineRule="auto"/>
        <w:jc w:val="both"/>
        <w:rPr>
          <w:rFonts w:ascii="Times New Roman" w:hAnsi="Times New Roman" w:cs="Times New Roman"/>
          <w:b/>
          <w:iCs/>
          <w:sz w:val="24"/>
          <w:szCs w:val="24"/>
        </w:rPr>
      </w:pPr>
      <w:bookmarkStart w:id="4" w:name="_Hlk83721196"/>
      <w:r>
        <w:rPr>
          <w:rFonts w:ascii="Times New Roman" w:hAnsi="Times New Roman" w:cs="Times New Roman"/>
          <w:b/>
          <w:iCs/>
          <w:sz w:val="24"/>
          <w:szCs w:val="24"/>
        </w:rPr>
        <w:t xml:space="preserve">II. </w:t>
      </w:r>
      <w:r w:rsidR="0029780B">
        <w:rPr>
          <w:rFonts w:ascii="Times New Roman" w:hAnsi="Times New Roman" w:cs="Times New Roman"/>
          <w:b/>
          <w:iCs/>
          <w:sz w:val="24"/>
          <w:szCs w:val="24"/>
        </w:rPr>
        <w:t>Una primera etapa en la jurisprudencia del TEDH en materia de transexualidad y modificación del sexo en los registros civiles: pocas garantía</w:t>
      </w:r>
      <w:r w:rsidR="00BA06FB">
        <w:rPr>
          <w:rFonts w:ascii="Times New Roman" w:hAnsi="Times New Roman" w:cs="Times New Roman"/>
          <w:b/>
          <w:iCs/>
          <w:sz w:val="24"/>
          <w:szCs w:val="24"/>
        </w:rPr>
        <w:t>s</w:t>
      </w:r>
      <w:r w:rsidR="0029780B">
        <w:rPr>
          <w:rFonts w:ascii="Times New Roman" w:hAnsi="Times New Roman" w:cs="Times New Roman"/>
          <w:b/>
          <w:iCs/>
          <w:sz w:val="24"/>
          <w:szCs w:val="24"/>
        </w:rPr>
        <w:t xml:space="preserve"> y amplio margen de apreciación nacional</w:t>
      </w:r>
      <w:r w:rsidR="001077BA">
        <w:rPr>
          <w:rFonts w:ascii="Times New Roman" w:hAnsi="Times New Roman" w:cs="Times New Roman"/>
          <w:b/>
          <w:iCs/>
          <w:sz w:val="24"/>
          <w:szCs w:val="24"/>
        </w:rPr>
        <w:t>.</w:t>
      </w:r>
      <w:r w:rsidR="0029780B">
        <w:rPr>
          <w:rFonts w:ascii="Times New Roman" w:hAnsi="Times New Roman" w:cs="Times New Roman"/>
          <w:b/>
          <w:iCs/>
          <w:sz w:val="24"/>
          <w:szCs w:val="24"/>
        </w:rPr>
        <w:t xml:space="preserve"> </w:t>
      </w:r>
    </w:p>
    <w:bookmarkEnd w:id="4"/>
    <w:p w14:paraId="3079AE50" w14:textId="77777777" w:rsidR="006702E0" w:rsidRPr="006D3C51" w:rsidRDefault="006702E0" w:rsidP="00781D53">
      <w:pPr>
        <w:spacing w:after="0" w:line="276" w:lineRule="auto"/>
        <w:jc w:val="both"/>
        <w:rPr>
          <w:rFonts w:ascii="Times New Roman" w:hAnsi="Times New Roman" w:cs="Times New Roman"/>
          <w:iCs/>
          <w:sz w:val="24"/>
          <w:szCs w:val="24"/>
        </w:rPr>
      </w:pPr>
    </w:p>
    <w:p w14:paraId="0EC78D56" w14:textId="41ED34E1" w:rsidR="00CD05E8" w:rsidRPr="006D3C51" w:rsidRDefault="008567D5" w:rsidP="00781D53">
      <w:pPr>
        <w:spacing w:after="0" w:line="276" w:lineRule="auto"/>
        <w:jc w:val="both"/>
        <w:rPr>
          <w:rFonts w:ascii="Times New Roman" w:hAnsi="Times New Roman" w:cs="Times New Roman"/>
          <w:iCs/>
          <w:sz w:val="24"/>
          <w:szCs w:val="24"/>
        </w:rPr>
      </w:pPr>
      <w:r w:rsidRPr="006D3C51">
        <w:rPr>
          <w:rFonts w:ascii="Times New Roman" w:hAnsi="Times New Roman" w:cs="Times New Roman"/>
          <w:iCs/>
          <w:sz w:val="24"/>
          <w:szCs w:val="24"/>
        </w:rPr>
        <w:t xml:space="preserve">El primer caso relevante </w:t>
      </w:r>
      <w:r w:rsidR="002C5544">
        <w:rPr>
          <w:rFonts w:ascii="Times New Roman" w:hAnsi="Times New Roman" w:cs="Times New Roman"/>
          <w:iCs/>
          <w:sz w:val="24"/>
          <w:szCs w:val="24"/>
        </w:rPr>
        <w:t>(</w:t>
      </w:r>
      <w:r w:rsidRPr="006D3C51">
        <w:rPr>
          <w:rFonts w:ascii="Times New Roman" w:hAnsi="Times New Roman" w:cs="Times New Roman"/>
          <w:iCs/>
          <w:sz w:val="24"/>
          <w:szCs w:val="24"/>
        </w:rPr>
        <w:t xml:space="preserve">dado que en el supuesto decidido el 6 de noviembre de 1980, asunto </w:t>
      </w:r>
      <w:r w:rsidRPr="00781D53">
        <w:rPr>
          <w:rFonts w:ascii="Times New Roman" w:hAnsi="Times New Roman" w:cs="Times New Roman"/>
          <w:i/>
          <w:iCs/>
          <w:sz w:val="24"/>
          <w:szCs w:val="24"/>
        </w:rPr>
        <w:t xml:space="preserve">Van </w:t>
      </w:r>
      <w:proofErr w:type="spellStart"/>
      <w:r w:rsidRPr="00781D53">
        <w:rPr>
          <w:rFonts w:ascii="Times New Roman" w:hAnsi="Times New Roman" w:cs="Times New Roman"/>
          <w:i/>
          <w:iCs/>
          <w:sz w:val="24"/>
          <w:szCs w:val="24"/>
        </w:rPr>
        <w:t>Oosterwijck</w:t>
      </w:r>
      <w:proofErr w:type="spellEnd"/>
      <w:r w:rsidRPr="00781D53">
        <w:rPr>
          <w:rFonts w:ascii="Times New Roman" w:hAnsi="Times New Roman" w:cs="Times New Roman"/>
          <w:i/>
          <w:iCs/>
          <w:sz w:val="24"/>
          <w:szCs w:val="24"/>
        </w:rPr>
        <w:t xml:space="preserve"> c. Bélgica</w:t>
      </w:r>
      <w:r w:rsidRPr="0029574E">
        <w:rPr>
          <w:rStyle w:val="Refdenotaalpie"/>
          <w:rFonts w:ascii="Times New Roman" w:hAnsi="Times New Roman" w:cs="Times New Roman"/>
          <w:iCs/>
          <w:sz w:val="24"/>
          <w:szCs w:val="24"/>
        </w:rPr>
        <w:footnoteReference w:id="4"/>
      </w:r>
      <w:r w:rsidR="0029574E" w:rsidRPr="0029574E">
        <w:rPr>
          <w:rFonts w:ascii="Times New Roman" w:hAnsi="Times New Roman" w:cs="Times New Roman"/>
          <w:iCs/>
          <w:sz w:val="24"/>
          <w:szCs w:val="24"/>
        </w:rPr>
        <w:t>,</w:t>
      </w:r>
      <w:r w:rsidRPr="006D3C51">
        <w:rPr>
          <w:rFonts w:ascii="Times New Roman" w:hAnsi="Times New Roman" w:cs="Times New Roman"/>
          <w:iCs/>
          <w:sz w:val="24"/>
          <w:szCs w:val="24"/>
        </w:rPr>
        <w:t xml:space="preserve"> en el que las autoridades belgas se negaban a modificar el sexo registral de un transexual, el TEDH no entró en el fondo de la cuestión </w:t>
      </w:r>
      <w:r w:rsidRPr="006D3C51">
        <w:rPr>
          <w:rFonts w:ascii="Times New Roman" w:hAnsi="Times New Roman" w:cs="Times New Roman"/>
          <w:iCs/>
          <w:sz w:val="24"/>
          <w:szCs w:val="24"/>
        </w:rPr>
        <w:lastRenderedPageBreak/>
        <w:t>porque el recurrente no había cumplido el requisito del agotamiento de la vía judicial nacional previa</w:t>
      </w:r>
      <w:r w:rsidRPr="006D3C51">
        <w:rPr>
          <w:rStyle w:val="Refdenotaalpie"/>
          <w:rFonts w:ascii="Times New Roman" w:hAnsi="Times New Roman" w:cs="Times New Roman"/>
          <w:iCs/>
          <w:sz w:val="24"/>
          <w:szCs w:val="24"/>
        </w:rPr>
        <w:footnoteReference w:id="5"/>
      </w:r>
      <w:r w:rsidR="002C5544">
        <w:rPr>
          <w:rFonts w:ascii="Times New Roman" w:hAnsi="Times New Roman" w:cs="Times New Roman"/>
          <w:iCs/>
          <w:sz w:val="24"/>
          <w:szCs w:val="24"/>
        </w:rPr>
        <w:t>)</w:t>
      </w:r>
      <w:r w:rsidR="00C40446">
        <w:rPr>
          <w:rFonts w:ascii="Times New Roman" w:hAnsi="Times New Roman" w:cs="Times New Roman"/>
          <w:iCs/>
          <w:sz w:val="24"/>
          <w:szCs w:val="24"/>
        </w:rPr>
        <w:t>,</w:t>
      </w:r>
      <w:r w:rsidRPr="006D3C51">
        <w:rPr>
          <w:rFonts w:ascii="Times New Roman" w:hAnsi="Times New Roman" w:cs="Times New Roman"/>
          <w:iCs/>
          <w:sz w:val="24"/>
          <w:szCs w:val="24"/>
        </w:rPr>
        <w:t xml:space="preserve"> </w:t>
      </w:r>
      <w:r w:rsidR="005C1DA7" w:rsidRPr="006D3C51">
        <w:rPr>
          <w:rFonts w:ascii="Times New Roman" w:hAnsi="Times New Roman" w:cs="Times New Roman"/>
          <w:iCs/>
          <w:sz w:val="24"/>
          <w:szCs w:val="24"/>
        </w:rPr>
        <w:t xml:space="preserve">es el </w:t>
      </w:r>
      <w:r w:rsidR="005C1DA7" w:rsidRPr="00781D53">
        <w:rPr>
          <w:rFonts w:ascii="Times New Roman" w:hAnsi="Times New Roman" w:cs="Times New Roman"/>
          <w:iCs/>
          <w:sz w:val="24"/>
          <w:szCs w:val="24"/>
        </w:rPr>
        <w:t>asunto</w:t>
      </w:r>
      <w:r w:rsidR="0097208B" w:rsidRPr="00781D53">
        <w:rPr>
          <w:rFonts w:ascii="Times New Roman" w:hAnsi="Times New Roman" w:cs="Times New Roman"/>
          <w:sz w:val="24"/>
          <w:szCs w:val="24"/>
        </w:rPr>
        <w:t xml:space="preserve"> </w:t>
      </w:r>
      <w:proofErr w:type="spellStart"/>
      <w:r w:rsidR="009C2F42" w:rsidRPr="00781D53">
        <w:rPr>
          <w:rFonts w:ascii="Times New Roman" w:hAnsi="Times New Roman" w:cs="Times New Roman"/>
          <w:i/>
          <w:iCs/>
          <w:sz w:val="24"/>
          <w:szCs w:val="24"/>
        </w:rPr>
        <w:t>Rees</w:t>
      </w:r>
      <w:proofErr w:type="spellEnd"/>
      <w:r w:rsidR="009C2F42" w:rsidRPr="00781D53">
        <w:rPr>
          <w:rFonts w:ascii="Times New Roman" w:hAnsi="Times New Roman" w:cs="Times New Roman"/>
          <w:i/>
          <w:iCs/>
          <w:sz w:val="24"/>
          <w:szCs w:val="24"/>
        </w:rPr>
        <w:t xml:space="preserve"> c. Reino Unido</w:t>
      </w:r>
      <w:r w:rsidR="009C2F42" w:rsidRPr="006D3C51">
        <w:rPr>
          <w:rFonts w:ascii="Times New Roman" w:hAnsi="Times New Roman" w:cs="Times New Roman"/>
          <w:b/>
          <w:i/>
          <w:iCs/>
          <w:sz w:val="24"/>
          <w:szCs w:val="24"/>
        </w:rPr>
        <w:t>, </w:t>
      </w:r>
      <w:r w:rsidR="005C1DA7" w:rsidRPr="006D3C51">
        <w:rPr>
          <w:rFonts w:ascii="Times New Roman" w:hAnsi="Times New Roman" w:cs="Times New Roman"/>
          <w:sz w:val="24"/>
          <w:szCs w:val="24"/>
        </w:rPr>
        <w:t>resuelto con la</w:t>
      </w:r>
      <w:r w:rsidR="009C2F42" w:rsidRPr="006D3C51">
        <w:rPr>
          <w:rFonts w:ascii="Times New Roman" w:hAnsi="Times New Roman" w:cs="Times New Roman"/>
          <w:sz w:val="24"/>
          <w:szCs w:val="24"/>
        </w:rPr>
        <w:t xml:space="preserve"> sentencia</w:t>
      </w:r>
      <w:r w:rsidR="005C1DA7" w:rsidRPr="006D3C51">
        <w:rPr>
          <w:rFonts w:ascii="Times New Roman" w:hAnsi="Times New Roman" w:cs="Times New Roman"/>
          <w:sz w:val="24"/>
          <w:szCs w:val="24"/>
        </w:rPr>
        <w:t xml:space="preserve"> de</w:t>
      </w:r>
      <w:r w:rsidR="009C2F42" w:rsidRPr="006D3C51">
        <w:rPr>
          <w:rFonts w:ascii="Times New Roman" w:hAnsi="Times New Roman" w:cs="Times New Roman"/>
          <w:sz w:val="24"/>
          <w:szCs w:val="24"/>
        </w:rPr>
        <w:t> 17 de octubre de 1986</w:t>
      </w:r>
      <w:r w:rsidR="005C1DA7" w:rsidRPr="006D3C51">
        <w:rPr>
          <w:rStyle w:val="Refdenotaalpie"/>
          <w:rFonts w:ascii="Times New Roman" w:hAnsi="Times New Roman" w:cs="Times New Roman"/>
          <w:sz w:val="24"/>
          <w:szCs w:val="24"/>
        </w:rPr>
        <w:footnoteReference w:id="6"/>
      </w:r>
      <w:r w:rsidR="00C40446">
        <w:rPr>
          <w:rFonts w:ascii="Times New Roman" w:hAnsi="Times New Roman" w:cs="Times New Roman"/>
          <w:sz w:val="24"/>
          <w:szCs w:val="24"/>
        </w:rPr>
        <w:t>.</w:t>
      </w:r>
    </w:p>
    <w:p w14:paraId="24FA22D2" w14:textId="5D07F258" w:rsidR="006C7E9B" w:rsidRPr="006D3C51" w:rsidRDefault="006C7E9B"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El demandante</w:t>
      </w:r>
      <w:r w:rsidR="00BB03E2" w:rsidRPr="006D3C51">
        <w:rPr>
          <w:rFonts w:ascii="Times New Roman" w:hAnsi="Times New Roman" w:cs="Times New Roman"/>
          <w:sz w:val="24"/>
          <w:szCs w:val="24"/>
        </w:rPr>
        <w:t xml:space="preserve"> (el Sr. </w:t>
      </w:r>
      <w:proofErr w:type="spellStart"/>
      <w:r w:rsidR="00BB03E2" w:rsidRPr="006D3C51">
        <w:rPr>
          <w:rFonts w:ascii="Times New Roman" w:hAnsi="Times New Roman" w:cs="Times New Roman"/>
          <w:sz w:val="24"/>
          <w:szCs w:val="24"/>
        </w:rPr>
        <w:t>Rees</w:t>
      </w:r>
      <w:proofErr w:type="spellEnd"/>
      <w:r w:rsidR="00BB03E2" w:rsidRPr="006D3C51">
        <w:rPr>
          <w:rFonts w:ascii="Times New Roman" w:hAnsi="Times New Roman" w:cs="Times New Roman"/>
          <w:sz w:val="24"/>
          <w:szCs w:val="24"/>
        </w:rPr>
        <w:t>)</w:t>
      </w:r>
      <w:r w:rsidR="00D150ED" w:rsidRPr="006D3C51">
        <w:rPr>
          <w:rFonts w:ascii="Times New Roman" w:hAnsi="Times New Roman" w:cs="Times New Roman"/>
          <w:sz w:val="24"/>
          <w:szCs w:val="24"/>
        </w:rPr>
        <w:t>, que</w:t>
      </w:r>
      <w:r w:rsidRPr="006D3C51">
        <w:rPr>
          <w:rFonts w:ascii="Times New Roman" w:hAnsi="Times New Roman" w:cs="Times New Roman"/>
          <w:sz w:val="24"/>
          <w:szCs w:val="24"/>
        </w:rPr>
        <w:t xml:space="preserve"> nació con las características, físicas y biológicas, del sexo femenino y así fue inscrito en el Registro de nacimientos</w:t>
      </w:r>
      <w:r w:rsidR="00D150ED" w:rsidRPr="006D3C51">
        <w:rPr>
          <w:rFonts w:ascii="Times New Roman" w:hAnsi="Times New Roman" w:cs="Times New Roman"/>
          <w:sz w:val="24"/>
          <w:szCs w:val="24"/>
        </w:rPr>
        <w:t xml:space="preserve">, </w:t>
      </w:r>
      <w:r w:rsidRPr="006D3C51">
        <w:rPr>
          <w:rFonts w:ascii="Times New Roman" w:hAnsi="Times New Roman" w:cs="Times New Roman"/>
          <w:sz w:val="24"/>
          <w:szCs w:val="24"/>
        </w:rPr>
        <w:t>desde su infancia s</w:t>
      </w:r>
      <w:r w:rsidR="00BB03E2" w:rsidRPr="006D3C51">
        <w:rPr>
          <w:rFonts w:ascii="Times New Roman" w:hAnsi="Times New Roman" w:cs="Times New Roman"/>
          <w:sz w:val="24"/>
          <w:szCs w:val="24"/>
        </w:rPr>
        <w:t>e reconoció en el sexo masculino</w:t>
      </w:r>
      <w:r w:rsidR="00D150ED" w:rsidRPr="006D3C51">
        <w:rPr>
          <w:rFonts w:ascii="Times New Roman" w:hAnsi="Times New Roman" w:cs="Times New Roman"/>
          <w:sz w:val="24"/>
          <w:szCs w:val="24"/>
        </w:rPr>
        <w:t xml:space="preserve"> y se sometió a varios</w:t>
      </w:r>
      <w:r w:rsidRPr="006D3C51">
        <w:rPr>
          <w:rFonts w:ascii="Times New Roman" w:hAnsi="Times New Roman" w:cs="Times New Roman"/>
          <w:sz w:val="24"/>
          <w:szCs w:val="24"/>
        </w:rPr>
        <w:t xml:space="preserve"> tratamiento</w:t>
      </w:r>
      <w:r w:rsidR="00D150ED" w:rsidRPr="006D3C51">
        <w:rPr>
          <w:rFonts w:ascii="Times New Roman" w:hAnsi="Times New Roman" w:cs="Times New Roman"/>
          <w:sz w:val="24"/>
          <w:szCs w:val="24"/>
        </w:rPr>
        <w:t>s</w:t>
      </w:r>
      <w:r w:rsidRPr="006D3C51">
        <w:rPr>
          <w:rFonts w:ascii="Times New Roman" w:hAnsi="Times New Roman" w:cs="Times New Roman"/>
          <w:sz w:val="24"/>
          <w:szCs w:val="24"/>
        </w:rPr>
        <w:t xml:space="preserve"> médico</w:t>
      </w:r>
      <w:r w:rsidR="00D150ED" w:rsidRPr="006D3C51">
        <w:rPr>
          <w:rFonts w:ascii="Times New Roman" w:hAnsi="Times New Roman" w:cs="Times New Roman"/>
          <w:sz w:val="24"/>
          <w:szCs w:val="24"/>
        </w:rPr>
        <w:t>s</w:t>
      </w:r>
      <w:r w:rsidRPr="006D3C51">
        <w:rPr>
          <w:rFonts w:ascii="Times New Roman" w:hAnsi="Times New Roman" w:cs="Times New Roman"/>
          <w:sz w:val="24"/>
          <w:szCs w:val="24"/>
        </w:rPr>
        <w:t xml:space="preserve"> </w:t>
      </w:r>
      <w:r w:rsidR="00D150ED" w:rsidRPr="006D3C51">
        <w:rPr>
          <w:rFonts w:ascii="Times New Roman" w:hAnsi="Times New Roman" w:cs="Times New Roman"/>
          <w:sz w:val="24"/>
          <w:szCs w:val="24"/>
        </w:rPr>
        <w:t xml:space="preserve">y </w:t>
      </w:r>
      <w:r w:rsidRPr="006D3C51">
        <w:rPr>
          <w:rFonts w:ascii="Times New Roman" w:hAnsi="Times New Roman" w:cs="Times New Roman"/>
          <w:sz w:val="24"/>
          <w:szCs w:val="24"/>
        </w:rPr>
        <w:t>quirúrgico</w:t>
      </w:r>
      <w:r w:rsidR="00D150ED" w:rsidRPr="006D3C51">
        <w:rPr>
          <w:rFonts w:ascii="Times New Roman" w:hAnsi="Times New Roman" w:cs="Times New Roman"/>
          <w:sz w:val="24"/>
          <w:szCs w:val="24"/>
        </w:rPr>
        <w:t>s</w:t>
      </w:r>
      <w:r w:rsidRPr="006D3C51">
        <w:rPr>
          <w:rFonts w:ascii="Times New Roman" w:hAnsi="Times New Roman" w:cs="Times New Roman"/>
          <w:sz w:val="24"/>
          <w:szCs w:val="24"/>
        </w:rPr>
        <w:t xml:space="preserve"> que </w:t>
      </w:r>
      <w:r w:rsidR="00D150ED" w:rsidRPr="006D3C51">
        <w:rPr>
          <w:rFonts w:ascii="Times New Roman" w:hAnsi="Times New Roman" w:cs="Times New Roman"/>
          <w:sz w:val="24"/>
          <w:szCs w:val="24"/>
        </w:rPr>
        <w:t>progresivamente modificaron sus</w:t>
      </w:r>
      <w:r w:rsidRPr="006D3C51">
        <w:rPr>
          <w:rFonts w:ascii="Times New Roman" w:hAnsi="Times New Roman" w:cs="Times New Roman"/>
          <w:sz w:val="24"/>
          <w:szCs w:val="24"/>
        </w:rPr>
        <w:t xml:space="preserve"> características femeninas </w:t>
      </w:r>
      <w:r w:rsidR="00D150ED" w:rsidRPr="006D3C51">
        <w:rPr>
          <w:rFonts w:ascii="Times New Roman" w:hAnsi="Times New Roman" w:cs="Times New Roman"/>
          <w:sz w:val="24"/>
          <w:szCs w:val="24"/>
        </w:rPr>
        <w:t>a masculina</w:t>
      </w:r>
      <w:r w:rsidRPr="006D3C51">
        <w:rPr>
          <w:rFonts w:ascii="Times New Roman" w:hAnsi="Times New Roman" w:cs="Times New Roman"/>
          <w:sz w:val="24"/>
          <w:szCs w:val="24"/>
        </w:rPr>
        <w:t>.</w:t>
      </w:r>
      <w:r w:rsidR="00BB03E2" w:rsidRPr="006D3C51">
        <w:rPr>
          <w:rFonts w:ascii="Times New Roman" w:hAnsi="Times New Roman" w:cs="Times New Roman"/>
          <w:sz w:val="24"/>
          <w:szCs w:val="24"/>
        </w:rPr>
        <w:t xml:space="preserve"> </w:t>
      </w:r>
      <w:r w:rsidR="00D150ED" w:rsidRPr="006D3C51">
        <w:rPr>
          <w:rFonts w:ascii="Times New Roman" w:hAnsi="Times New Roman" w:cs="Times New Roman"/>
          <w:sz w:val="24"/>
          <w:szCs w:val="24"/>
        </w:rPr>
        <w:t xml:space="preserve">El Sr. </w:t>
      </w:r>
      <w:proofErr w:type="spellStart"/>
      <w:r w:rsidR="00D150ED" w:rsidRPr="006D3C51">
        <w:rPr>
          <w:rFonts w:ascii="Times New Roman" w:hAnsi="Times New Roman" w:cs="Times New Roman"/>
          <w:sz w:val="24"/>
          <w:szCs w:val="24"/>
        </w:rPr>
        <w:t>Rees</w:t>
      </w:r>
      <w:proofErr w:type="spellEnd"/>
      <w:r w:rsidR="00BB03E2" w:rsidRPr="006D3C51">
        <w:rPr>
          <w:rFonts w:ascii="Times New Roman" w:hAnsi="Times New Roman" w:cs="Times New Roman"/>
          <w:sz w:val="24"/>
          <w:szCs w:val="24"/>
        </w:rPr>
        <w:t xml:space="preserve"> cambi</w:t>
      </w:r>
      <w:r w:rsidR="00D150ED" w:rsidRPr="006D3C51">
        <w:rPr>
          <w:rFonts w:ascii="Times New Roman" w:hAnsi="Times New Roman" w:cs="Times New Roman"/>
          <w:sz w:val="24"/>
          <w:szCs w:val="24"/>
        </w:rPr>
        <w:t>ó</w:t>
      </w:r>
      <w:r w:rsidR="00BB03E2" w:rsidRPr="006D3C51">
        <w:rPr>
          <w:rFonts w:ascii="Times New Roman" w:hAnsi="Times New Roman" w:cs="Times New Roman"/>
          <w:sz w:val="24"/>
          <w:szCs w:val="24"/>
        </w:rPr>
        <w:t xml:space="preserve"> </w:t>
      </w:r>
      <w:r w:rsidR="00D150ED" w:rsidRPr="006D3C51">
        <w:rPr>
          <w:rFonts w:ascii="Times New Roman" w:hAnsi="Times New Roman" w:cs="Times New Roman"/>
          <w:sz w:val="24"/>
          <w:szCs w:val="24"/>
        </w:rPr>
        <w:t>su</w:t>
      </w:r>
      <w:r w:rsidR="00BB03E2" w:rsidRPr="006D3C51">
        <w:rPr>
          <w:rFonts w:ascii="Times New Roman" w:hAnsi="Times New Roman" w:cs="Times New Roman"/>
          <w:sz w:val="24"/>
          <w:szCs w:val="24"/>
        </w:rPr>
        <w:t xml:space="preserve"> nombre, </w:t>
      </w:r>
      <w:r w:rsidR="00D150ED" w:rsidRPr="006D3C51">
        <w:rPr>
          <w:rFonts w:ascii="Times New Roman" w:hAnsi="Times New Roman" w:cs="Times New Roman"/>
          <w:sz w:val="24"/>
          <w:szCs w:val="24"/>
        </w:rPr>
        <w:t xml:space="preserve">pero </w:t>
      </w:r>
      <w:r w:rsidR="00BB03E2" w:rsidRPr="006D3C51">
        <w:rPr>
          <w:rFonts w:ascii="Times New Roman" w:hAnsi="Times New Roman" w:cs="Times New Roman"/>
          <w:sz w:val="24"/>
          <w:szCs w:val="24"/>
        </w:rPr>
        <w:t xml:space="preserve">se le denegó </w:t>
      </w:r>
      <w:r w:rsidR="00D150ED" w:rsidRPr="006D3C51">
        <w:rPr>
          <w:rFonts w:ascii="Times New Roman" w:hAnsi="Times New Roman" w:cs="Times New Roman"/>
          <w:sz w:val="24"/>
          <w:szCs w:val="24"/>
        </w:rPr>
        <w:t>la autorización a</w:t>
      </w:r>
      <w:r w:rsidRPr="006D3C51">
        <w:rPr>
          <w:rFonts w:ascii="Times New Roman" w:hAnsi="Times New Roman" w:cs="Times New Roman"/>
          <w:sz w:val="24"/>
          <w:szCs w:val="24"/>
        </w:rPr>
        <w:t xml:space="preserve"> la modificación de la mención del sexo en la inscripción de su nacimiento.</w:t>
      </w:r>
      <w:r w:rsidR="00BB03E2" w:rsidRPr="006D3C51">
        <w:rPr>
          <w:rFonts w:ascii="Times New Roman" w:hAnsi="Times New Roman" w:cs="Times New Roman"/>
          <w:sz w:val="24"/>
          <w:szCs w:val="24"/>
        </w:rPr>
        <w:t xml:space="preserve"> </w:t>
      </w:r>
      <w:r w:rsidR="00D150ED" w:rsidRPr="006D3C51">
        <w:rPr>
          <w:rFonts w:ascii="Times New Roman" w:hAnsi="Times New Roman" w:cs="Times New Roman"/>
          <w:sz w:val="24"/>
          <w:szCs w:val="24"/>
        </w:rPr>
        <w:t xml:space="preserve">De este modo, </w:t>
      </w:r>
      <w:r w:rsidRPr="006D3C51">
        <w:rPr>
          <w:rFonts w:ascii="Times New Roman" w:hAnsi="Times New Roman" w:cs="Times New Roman"/>
          <w:sz w:val="24"/>
          <w:szCs w:val="24"/>
        </w:rPr>
        <w:t>el estatuto jurídico que le aplicaba el Derecho de su país no estaba de acuerdo con su condición</w:t>
      </w:r>
      <w:r w:rsidR="00D150ED" w:rsidRPr="006D3C51">
        <w:rPr>
          <w:rFonts w:ascii="Times New Roman" w:hAnsi="Times New Roman" w:cs="Times New Roman"/>
          <w:sz w:val="24"/>
          <w:szCs w:val="24"/>
        </w:rPr>
        <w:t xml:space="preserve"> sexual</w:t>
      </w:r>
      <w:r w:rsidRPr="006D3C51">
        <w:rPr>
          <w:rFonts w:ascii="Times New Roman" w:hAnsi="Times New Roman" w:cs="Times New Roman"/>
          <w:sz w:val="24"/>
          <w:szCs w:val="24"/>
        </w:rPr>
        <w:t xml:space="preserve"> real, </w:t>
      </w:r>
      <w:r w:rsidR="00D150ED" w:rsidRPr="006D3C51">
        <w:rPr>
          <w:rFonts w:ascii="Times New Roman" w:hAnsi="Times New Roman" w:cs="Times New Roman"/>
          <w:sz w:val="24"/>
          <w:szCs w:val="24"/>
        </w:rPr>
        <w:t xml:space="preserve">provocando la violación de sus derechos </w:t>
      </w:r>
      <w:r w:rsidR="00D150ED" w:rsidRPr="006D3C51">
        <w:rPr>
          <w:rFonts w:ascii="Times New Roman" w:hAnsi="Times New Roman" w:cs="Times New Roman"/>
          <w:i/>
          <w:sz w:val="24"/>
          <w:szCs w:val="24"/>
        </w:rPr>
        <w:t>ex</w:t>
      </w:r>
      <w:r w:rsidRPr="006D3C51">
        <w:rPr>
          <w:rFonts w:ascii="Times New Roman" w:hAnsi="Times New Roman" w:cs="Times New Roman"/>
          <w:sz w:val="24"/>
          <w:szCs w:val="24"/>
        </w:rPr>
        <w:t xml:space="preserve"> artículos 3, 8 y 12 del Convenio.</w:t>
      </w:r>
      <w:r w:rsidR="00BD3CFE" w:rsidRPr="006D3C51">
        <w:rPr>
          <w:rFonts w:ascii="Times New Roman" w:hAnsi="Times New Roman" w:cs="Times New Roman"/>
          <w:sz w:val="24"/>
          <w:szCs w:val="24"/>
        </w:rPr>
        <w:t xml:space="preserve"> En particular, el Sr. </w:t>
      </w:r>
      <w:proofErr w:type="spellStart"/>
      <w:r w:rsidR="00BD3CFE" w:rsidRPr="006D3C51">
        <w:rPr>
          <w:rFonts w:ascii="Times New Roman" w:hAnsi="Times New Roman" w:cs="Times New Roman"/>
          <w:sz w:val="24"/>
          <w:szCs w:val="24"/>
        </w:rPr>
        <w:t>Rees</w:t>
      </w:r>
      <w:proofErr w:type="spellEnd"/>
      <w:r w:rsidR="00BD3CFE" w:rsidRPr="006D3C51">
        <w:rPr>
          <w:rFonts w:ascii="Times New Roman" w:hAnsi="Times New Roman" w:cs="Times New Roman"/>
          <w:sz w:val="24"/>
          <w:szCs w:val="24"/>
        </w:rPr>
        <w:t xml:space="preserve"> denunci</w:t>
      </w:r>
      <w:r w:rsidR="005A1195" w:rsidRPr="006D3C51">
        <w:rPr>
          <w:rFonts w:ascii="Times New Roman" w:hAnsi="Times New Roman" w:cs="Times New Roman"/>
          <w:sz w:val="24"/>
          <w:szCs w:val="24"/>
        </w:rPr>
        <w:t>ó</w:t>
      </w:r>
      <w:r w:rsidR="00BD3CFE" w:rsidRPr="006D3C51">
        <w:rPr>
          <w:rFonts w:ascii="Times New Roman" w:hAnsi="Times New Roman" w:cs="Times New Roman"/>
          <w:sz w:val="24"/>
          <w:szCs w:val="24"/>
        </w:rPr>
        <w:t xml:space="preserve"> la violación del artículo 8 del Convenio, al quejarse de los obstáculos que se pusieron a su integración en la sociedad reconociéndosele su condición masculina</w:t>
      </w:r>
      <w:r w:rsidR="005A1195" w:rsidRPr="006D3C51">
        <w:rPr>
          <w:rFonts w:ascii="Times New Roman" w:hAnsi="Times New Roman" w:cs="Times New Roman"/>
          <w:sz w:val="24"/>
          <w:szCs w:val="24"/>
        </w:rPr>
        <w:t xml:space="preserve"> y</w:t>
      </w:r>
      <w:r w:rsidR="00BD3CFE" w:rsidRPr="006D3C51">
        <w:rPr>
          <w:rFonts w:ascii="Times New Roman" w:hAnsi="Times New Roman" w:cs="Times New Roman"/>
          <w:sz w:val="24"/>
          <w:szCs w:val="24"/>
        </w:rPr>
        <w:t>,</w:t>
      </w:r>
      <w:r w:rsidR="005A1195" w:rsidRPr="006D3C51">
        <w:rPr>
          <w:rFonts w:ascii="Times New Roman" w:hAnsi="Times New Roman" w:cs="Times New Roman"/>
          <w:sz w:val="24"/>
          <w:szCs w:val="24"/>
        </w:rPr>
        <w:t xml:space="preserve"> sobre todo,</w:t>
      </w:r>
      <w:r w:rsidR="00BD3CFE" w:rsidRPr="006D3C51">
        <w:rPr>
          <w:rFonts w:ascii="Times New Roman" w:hAnsi="Times New Roman" w:cs="Times New Roman"/>
          <w:sz w:val="24"/>
          <w:szCs w:val="24"/>
        </w:rPr>
        <w:t xml:space="preserve"> que en </w:t>
      </w:r>
      <w:r w:rsidR="005A1195" w:rsidRPr="006D3C51">
        <w:rPr>
          <w:rFonts w:ascii="Times New Roman" w:hAnsi="Times New Roman" w:cs="Times New Roman"/>
          <w:sz w:val="24"/>
          <w:szCs w:val="24"/>
        </w:rPr>
        <w:t>el</w:t>
      </w:r>
      <w:r w:rsidR="00BD3CFE" w:rsidRPr="006D3C51">
        <w:rPr>
          <w:rFonts w:ascii="Times New Roman" w:hAnsi="Times New Roman" w:cs="Times New Roman"/>
          <w:sz w:val="24"/>
          <w:szCs w:val="24"/>
        </w:rPr>
        <w:t xml:space="preserve"> certificado de nacimiento sig</w:t>
      </w:r>
      <w:r w:rsidR="005A1195" w:rsidRPr="006D3C51">
        <w:rPr>
          <w:rFonts w:ascii="Times New Roman" w:hAnsi="Times New Roman" w:cs="Times New Roman"/>
          <w:sz w:val="24"/>
          <w:szCs w:val="24"/>
        </w:rPr>
        <w:t>uiera</w:t>
      </w:r>
      <w:r w:rsidR="00BD3CFE" w:rsidRPr="006D3C51">
        <w:rPr>
          <w:rFonts w:ascii="Times New Roman" w:hAnsi="Times New Roman" w:cs="Times New Roman"/>
          <w:sz w:val="24"/>
          <w:szCs w:val="24"/>
        </w:rPr>
        <w:t xml:space="preserve"> apareciendo como persona de sexo femenino.</w:t>
      </w:r>
      <w:r w:rsidR="0045417D" w:rsidRPr="006D3C51">
        <w:rPr>
          <w:rFonts w:ascii="Times New Roman" w:hAnsi="Times New Roman" w:cs="Times New Roman"/>
          <w:sz w:val="24"/>
          <w:szCs w:val="24"/>
        </w:rPr>
        <w:t xml:space="preserve">  Respecto de la violación del artículo 12, el demandante alegó la imposibilidad </w:t>
      </w:r>
      <w:r w:rsidR="00DD37EC" w:rsidRPr="006D3C51">
        <w:rPr>
          <w:rFonts w:ascii="Times New Roman" w:hAnsi="Times New Roman" w:cs="Times New Roman"/>
          <w:sz w:val="24"/>
          <w:szCs w:val="24"/>
        </w:rPr>
        <w:t>de</w:t>
      </w:r>
      <w:r w:rsidR="0045417D" w:rsidRPr="006D3C51">
        <w:rPr>
          <w:rFonts w:ascii="Times New Roman" w:hAnsi="Times New Roman" w:cs="Times New Roman"/>
          <w:sz w:val="24"/>
          <w:szCs w:val="24"/>
        </w:rPr>
        <w:t xml:space="preserve"> casarse con una mujer.</w:t>
      </w:r>
    </w:p>
    <w:p w14:paraId="7AB0334D" w14:textId="782FE38F" w:rsidR="00DA3B68" w:rsidRPr="006D3C51" w:rsidRDefault="00DA3B68"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En la interpretación del artículo 8 CEDH en las circunstancias del caso concreto, el Tribunal</w:t>
      </w:r>
      <w:r w:rsidR="004A53DA">
        <w:rPr>
          <w:rFonts w:ascii="Times New Roman" w:hAnsi="Times New Roman" w:cs="Times New Roman"/>
          <w:sz w:val="24"/>
          <w:szCs w:val="24"/>
        </w:rPr>
        <w:t xml:space="preserve"> Europeo</w:t>
      </w:r>
      <w:r w:rsidRPr="006D3C51">
        <w:rPr>
          <w:rFonts w:ascii="Times New Roman" w:hAnsi="Times New Roman" w:cs="Times New Roman"/>
          <w:sz w:val="24"/>
          <w:szCs w:val="24"/>
        </w:rPr>
        <w:t xml:space="preserve"> rec</w:t>
      </w:r>
      <w:r w:rsidR="008D654B" w:rsidRPr="006D3C51">
        <w:rPr>
          <w:rFonts w:ascii="Times New Roman" w:hAnsi="Times New Roman" w:cs="Times New Roman"/>
          <w:sz w:val="24"/>
          <w:szCs w:val="24"/>
        </w:rPr>
        <w:t>ordó</w:t>
      </w:r>
      <w:r w:rsidRPr="006D3C51">
        <w:rPr>
          <w:rFonts w:ascii="Times New Roman" w:hAnsi="Times New Roman" w:cs="Times New Roman"/>
          <w:sz w:val="24"/>
          <w:szCs w:val="24"/>
        </w:rPr>
        <w:t xml:space="preserve"> que, según su reiterada jurisprudencia, la principal finalidad de ese precepto es proteger a las personas contra las injerencias injustificadas del Estado; no obstante, el mismo puede implicar también </w:t>
      </w:r>
      <w:r w:rsidR="004A43AA" w:rsidRPr="006D3C51">
        <w:rPr>
          <w:rFonts w:ascii="Times New Roman" w:hAnsi="Times New Roman" w:cs="Times New Roman"/>
          <w:sz w:val="24"/>
          <w:szCs w:val="24"/>
        </w:rPr>
        <w:t>determinadas</w:t>
      </w:r>
      <w:r w:rsidRPr="006D3C51">
        <w:rPr>
          <w:rFonts w:ascii="Times New Roman" w:hAnsi="Times New Roman" w:cs="Times New Roman"/>
          <w:sz w:val="24"/>
          <w:szCs w:val="24"/>
        </w:rPr>
        <w:t xml:space="preserve"> obligaciones positivas para que se respete la vida privada de los ciudadanos, que quedarán sujetas a cierto margen de apreciación del Estado. En el caso de </w:t>
      </w:r>
      <w:proofErr w:type="spellStart"/>
      <w:r w:rsidRPr="006D3C51">
        <w:rPr>
          <w:rFonts w:ascii="Times New Roman" w:hAnsi="Times New Roman" w:cs="Times New Roman"/>
          <w:sz w:val="24"/>
          <w:szCs w:val="24"/>
        </w:rPr>
        <w:t>Rees</w:t>
      </w:r>
      <w:proofErr w:type="spellEnd"/>
      <w:r w:rsidRPr="006D3C51">
        <w:rPr>
          <w:rFonts w:ascii="Times New Roman" w:hAnsi="Times New Roman" w:cs="Times New Roman"/>
          <w:sz w:val="24"/>
          <w:szCs w:val="24"/>
        </w:rPr>
        <w:t>, ha</w:t>
      </w:r>
      <w:r w:rsidR="004A43AA" w:rsidRPr="006D3C51">
        <w:rPr>
          <w:rFonts w:ascii="Times New Roman" w:hAnsi="Times New Roman" w:cs="Times New Roman"/>
          <w:sz w:val="24"/>
          <w:szCs w:val="24"/>
        </w:rPr>
        <w:t>bía</w:t>
      </w:r>
      <w:r w:rsidRPr="006D3C51">
        <w:rPr>
          <w:rFonts w:ascii="Times New Roman" w:hAnsi="Times New Roman" w:cs="Times New Roman"/>
          <w:sz w:val="24"/>
          <w:szCs w:val="24"/>
        </w:rPr>
        <w:t xml:space="preserve"> que determinar la posible existencia y el alcance de estas obligaciones </w:t>
      </w:r>
      <w:r w:rsidR="00DB3D5C">
        <w:rPr>
          <w:rFonts w:ascii="Times New Roman" w:hAnsi="Times New Roman" w:cs="Times New Roman"/>
          <w:sz w:val="24"/>
          <w:szCs w:val="24"/>
        </w:rPr>
        <w:t>“</w:t>
      </w:r>
      <w:r w:rsidRPr="006D3C51">
        <w:rPr>
          <w:rFonts w:ascii="Times New Roman" w:hAnsi="Times New Roman" w:cs="Times New Roman"/>
          <w:sz w:val="24"/>
          <w:szCs w:val="24"/>
        </w:rPr>
        <w:t>positivas</w:t>
      </w:r>
      <w:r w:rsidR="00DB3D5C">
        <w:rPr>
          <w:rFonts w:ascii="Times New Roman" w:hAnsi="Times New Roman" w:cs="Times New Roman"/>
          <w:sz w:val="24"/>
          <w:szCs w:val="24"/>
        </w:rPr>
        <w:t>”</w:t>
      </w:r>
      <w:r w:rsidRPr="006D3C51">
        <w:rPr>
          <w:rFonts w:ascii="Times New Roman" w:hAnsi="Times New Roman" w:cs="Times New Roman"/>
          <w:sz w:val="24"/>
          <w:szCs w:val="24"/>
        </w:rPr>
        <w:t>, puesto que la mera negativa de la modificación de la inscripción del nacimiento o de la expedición de certificados con contenido distinto del registral no supone una injerencia</w:t>
      </w:r>
      <w:r w:rsidR="004A43AA" w:rsidRPr="006D3C51">
        <w:rPr>
          <w:rFonts w:ascii="Times New Roman" w:hAnsi="Times New Roman" w:cs="Times New Roman"/>
          <w:sz w:val="24"/>
          <w:szCs w:val="24"/>
        </w:rPr>
        <w:t xml:space="preserve"> (</w:t>
      </w:r>
      <w:r w:rsidR="00122CC1" w:rsidRPr="006D3C51">
        <w:rPr>
          <w:rFonts w:ascii="Times New Roman" w:hAnsi="Times New Roman" w:cs="Times New Roman"/>
          <w:sz w:val="24"/>
          <w:szCs w:val="24"/>
        </w:rPr>
        <w:t xml:space="preserve">§§ </w:t>
      </w:r>
      <w:r w:rsidR="004A43AA" w:rsidRPr="006D3C51">
        <w:rPr>
          <w:rFonts w:ascii="Times New Roman" w:hAnsi="Times New Roman" w:cs="Times New Roman"/>
          <w:sz w:val="24"/>
          <w:szCs w:val="24"/>
        </w:rPr>
        <w:t>35 y ss.).</w:t>
      </w:r>
    </w:p>
    <w:p w14:paraId="7D652E5B" w14:textId="20193C82" w:rsidR="000B673C" w:rsidRPr="006D3C51" w:rsidRDefault="00A43434"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El TEDH h</w:t>
      </w:r>
      <w:r w:rsidR="004A43AA" w:rsidRPr="006D3C51">
        <w:rPr>
          <w:rFonts w:ascii="Times New Roman" w:hAnsi="Times New Roman" w:cs="Times New Roman"/>
          <w:sz w:val="24"/>
          <w:szCs w:val="24"/>
        </w:rPr>
        <w:t>izo</w:t>
      </w:r>
      <w:r w:rsidRPr="006D3C51">
        <w:rPr>
          <w:rFonts w:ascii="Times New Roman" w:hAnsi="Times New Roman" w:cs="Times New Roman"/>
          <w:sz w:val="24"/>
          <w:szCs w:val="24"/>
        </w:rPr>
        <w:t xml:space="preserve"> referencia a</w:t>
      </w:r>
      <w:r w:rsidR="000B673C" w:rsidRPr="006D3C51">
        <w:rPr>
          <w:rFonts w:ascii="Times New Roman" w:hAnsi="Times New Roman" w:cs="Times New Roman"/>
          <w:sz w:val="24"/>
          <w:szCs w:val="24"/>
        </w:rPr>
        <w:t xml:space="preserve"> que, analizando el </w:t>
      </w:r>
      <w:r w:rsidR="00DA3B68" w:rsidRPr="006D3C51">
        <w:rPr>
          <w:rFonts w:ascii="Times New Roman" w:hAnsi="Times New Roman" w:cs="Times New Roman"/>
          <w:sz w:val="24"/>
          <w:szCs w:val="24"/>
        </w:rPr>
        <w:t>Derecho comparado</w:t>
      </w:r>
      <w:r w:rsidR="000B673C" w:rsidRPr="006D3C51">
        <w:rPr>
          <w:rFonts w:ascii="Times New Roman" w:hAnsi="Times New Roman" w:cs="Times New Roman"/>
          <w:sz w:val="24"/>
          <w:szCs w:val="24"/>
        </w:rPr>
        <w:t>, no exist</w:t>
      </w:r>
      <w:r w:rsidR="004A43AA" w:rsidRPr="006D3C51">
        <w:rPr>
          <w:rFonts w:ascii="Times New Roman" w:hAnsi="Times New Roman" w:cs="Times New Roman"/>
          <w:sz w:val="24"/>
          <w:szCs w:val="24"/>
        </w:rPr>
        <w:t>ían</w:t>
      </w:r>
      <w:r w:rsidR="000B673C" w:rsidRPr="006D3C51">
        <w:rPr>
          <w:rFonts w:ascii="Times New Roman" w:hAnsi="Times New Roman" w:cs="Times New Roman"/>
          <w:sz w:val="24"/>
          <w:szCs w:val="24"/>
        </w:rPr>
        <w:t xml:space="preserve"> todavía unos</w:t>
      </w:r>
      <w:r w:rsidR="00DA3B68" w:rsidRPr="006D3C51">
        <w:rPr>
          <w:rFonts w:ascii="Times New Roman" w:hAnsi="Times New Roman" w:cs="Times New Roman"/>
          <w:sz w:val="24"/>
          <w:szCs w:val="24"/>
        </w:rPr>
        <w:t xml:space="preserve"> criterios</w:t>
      </w:r>
      <w:r w:rsidR="000B673C" w:rsidRPr="006D3C51">
        <w:rPr>
          <w:rFonts w:ascii="Times New Roman" w:hAnsi="Times New Roman" w:cs="Times New Roman"/>
          <w:sz w:val="24"/>
          <w:szCs w:val="24"/>
        </w:rPr>
        <w:t xml:space="preserve"> comunes y uniforme</w:t>
      </w:r>
      <w:r w:rsidR="00DA3B68" w:rsidRPr="006D3C51">
        <w:rPr>
          <w:rFonts w:ascii="Times New Roman" w:hAnsi="Times New Roman" w:cs="Times New Roman"/>
          <w:sz w:val="24"/>
          <w:szCs w:val="24"/>
        </w:rPr>
        <w:t xml:space="preserve"> en esta materia</w:t>
      </w:r>
      <w:r w:rsidR="000B673C" w:rsidRPr="006D3C51">
        <w:rPr>
          <w:rFonts w:ascii="Times New Roman" w:hAnsi="Times New Roman" w:cs="Times New Roman"/>
          <w:sz w:val="24"/>
          <w:szCs w:val="24"/>
        </w:rPr>
        <w:t>; por lo tanto,</w:t>
      </w:r>
      <w:r w:rsidR="000A5D21" w:rsidRPr="006D3C51">
        <w:rPr>
          <w:rFonts w:ascii="Times New Roman" w:hAnsi="Times New Roman" w:cs="Times New Roman"/>
          <w:sz w:val="24"/>
          <w:szCs w:val="24"/>
        </w:rPr>
        <w:t xml:space="preserve"> en principio,</w:t>
      </w:r>
      <w:r w:rsidR="000B673C" w:rsidRPr="006D3C51">
        <w:rPr>
          <w:rFonts w:ascii="Times New Roman" w:hAnsi="Times New Roman" w:cs="Times New Roman"/>
          <w:sz w:val="24"/>
          <w:szCs w:val="24"/>
        </w:rPr>
        <w:t xml:space="preserve"> </w:t>
      </w:r>
      <w:r w:rsidR="00DA3B68" w:rsidRPr="006D3C51">
        <w:rPr>
          <w:rFonts w:ascii="Times New Roman" w:hAnsi="Times New Roman" w:cs="Times New Roman"/>
          <w:sz w:val="24"/>
          <w:szCs w:val="24"/>
        </w:rPr>
        <w:t xml:space="preserve">los Estados </w:t>
      </w:r>
      <w:r w:rsidR="000B673C" w:rsidRPr="006D3C51">
        <w:rPr>
          <w:rFonts w:ascii="Times New Roman" w:hAnsi="Times New Roman" w:cs="Times New Roman"/>
          <w:sz w:val="24"/>
          <w:szCs w:val="24"/>
        </w:rPr>
        <w:t>mant</w:t>
      </w:r>
      <w:r w:rsidR="004A43AA" w:rsidRPr="006D3C51">
        <w:rPr>
          <w:rFonts w:ascii="Times New Roman" w:hAnsi="Times New Roman" w:cs="Times New Roman"/>
          <w:sz w:val="24"/>
          <w:szCs w:val="24"/>
        </w:rPr>
        <w:t>enían</w:t>
      </w:r>
      <w:r w:rsidR="000B673C" w:rsidRPr="006D3C51">
        <w:rPr>
          <w:rFonts w:ascii="Times New Roman" w:hAnsi="Times New Roman" w:cs="Times New Roman"/>
          <w:sz w:val="24"/>
          <w:szCs w:val="24"/>
        </w:rPr>
        <w:t xml:space="preserve"> </w:t>
      </w:r>
      <w:r w:rsidR="00DA3B68" w:rsidRPr="006D3C51">
        <w:rPr>
          <w:rFonts w:ascii="Times New Roman" w:hAnsi="Times New Roman" w:cs="Times New Roman"/>
          <w:sz w:val="24"/>
          <w:szCs w:val="24"/>
        </w:rPr>
        <w:t>un amplio margen de apreciación</w:t>
      </w:r>
      <w:r w:rsidR="000B673C" w:rsidRPr="006D3C51">
        <w:rPr>
          <w:rFonts w:ascii="Times New Roman" w:hAnsi="Times New Roman" w:cs="Times New Roman"/>
          <w:sz w:val="24"/>
          <w:szCs w:val="24"/>
        </w:rPr>
        <w:t xml:space="preserve"> sobre la misma</w:t>
      </w:r>
      <w:r w:rsidR="004A43AA" w:rsidRPr="006D3C51">
        <w:rPr>
          <w:rFonts w:ascii="Times New Roman" w:hAnsi="Times New Roman" w:cs="Times New Roman"/>
          <w:sz w:val="24"/>
          <w:szCs w:val="24"/>
        </w:rPr>
        <w:t xml:space="preserve"> (</w:t>
      </w:r>
      <w:r w:rsidR="00122CC1" w:rsidRPr="006D3C51">
        <w:rPr>
          <w:rFonts w:ascii="Times New Roman" w:hAnsi="Times New Roman" w:cs="Times New Roman"/>
          <w:sz w:val="24"/>
          <w:szCs w:val="24"/>
        </w:rPr>
        <w:t xml:space="preserve">§ </w:t>
      </w:r>
      <w:r w:rsidR="004A43AA" w:rsidRPr="006D3C51">
        <w:rPr>
          <w:rFonts w:ascii="Times New Roman" w:hAnsi="Times New Roman" w:cs="Times New Roman"/>
          <w:sz w:val="24"/>
          <w:szCs w:val="24"/>
        </w:rPr>
        <w:t>37).</w:t>
      </w:r>
      <w:r w:rsidR="00DA3B68" w:rsidRPr="006D3C51">
        <w:rPr>
          <w:rFonts w:ascii="Times New Roman" w:hAnsi="Times New Roman" w:cs="Times New Roman"/>
          <w:sz w:val="24"/>
          <w:szCs w:val="24"/>
        </w:rPr>
        <w:t xml:space="preserve"> </w:t>
      </w:r>
    </w:p>
    <w:p w14:paraId="0D002DF7" w14:textId="5939F2BB" w:rsidR="00DA3B68" w:rsidRPr="006D3C51" w:rsidRDefault="00785490"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Habría sido, por lo tanto,</w:t>
      </w:r>
      <w:r w:rsidR="000B673C" w:rsidRPr="006D3C51">
        <w:rPr>
          <w:rFonts w:ascii="Times New Roman" w:hAnsi="Times New Roman" w:cs="Times New Roman"/>
          <w:sz w:val="24"/>
          <w:szCs w:val="24"/>
        </w:rPr>
        <w:t xml:space="preserve"> necesario, p</w:t>
      </w:r>
      <w:r w:rsidR="00DA3B68" w:rsidRPr="006D3C51">
        <w:rPr>
          <w:rFonts w:ascii="Times New Roman" w:hAnsi="Times New Roman" w:cs="Times New Roman"/>
          <w:sz w:val="24"/>
          <w:szCs w:val="24"/>
        </w:rPr>
        <w:t>ara determinar la existencia de una obligación positiva</w:t>
      </w:r>
      <w:r w:rsidR="000B673C" w:rsidRPr="006D3C51">
        <w:rPr>
          <w:rFonts w:ascii="Times New Roman" w:hAnsi="Times New Roman" w:cs="Times New Roman"/>
          <w:sz w:val="24"/>
          <w:szCs w:val="24"/>
        </w:rPr>
        <w:t xml:space="preserve"> del Estado miembro</w:t>
      </w:r>
      <w:r w:rsidR="00DA3B68" w:rsidRPr="006D3C51">
        <w:rPr>
          <w:rFonts w:ascii="Times New Roman" w:hAnsi="Times New Roman" w:cs="Times New Roman"/>
          <w:sz w:val="24"/>
          <w:szCs w:val="24"/>
        </w:rPr>
        <w:t>, busca</w:t>
      </w:r>
      <w:r w:rsidR="000B673C" w:rsidRPr="006D3C51">
        <w:rPr>
          <w:rFonts w:ascii="Times New Roman" w:hAnsi="Times New Roman" w:cs="Times New Roman"/>
          <w:sz w:val="24"/>
          <w:szCs w:val="24"/>
        </w:rPr>
        <w:t>r</w:t>
      </w:r>
      <w:r w:rsidR="00DA3B68" w:rsidRPr="006D3C51">
        <w:rPr>
          <w:rFonts w:ascii="Times New Roman" w:hAnsi="Times New Roman" w:cs="Times New Roman"/>
          <w:sz w:val="24"/>
          <w:szCs w:val="24"/>
        </w:rPr>
        <w:t xml:space="preserve"> un equilibrio entre el interés general y el individual.</w:t>
      </w:r>
    </w:p>
    <w:p w14:paraId="28035522" w14:textId="6039E886" w:rsidR="000123D6" w:rsidRPr="006D3C51" w:rsidRDefault="000123D6"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El Tribunal lleg</w:t>
      </w:r>
      <w:r w:rsidR="00044C30" w:rsidRPr="006D3C51">
        <w:rPr>
          <w:rFonts w:ascii="Times New Roman" w:hAnsi="Times New Roman" w:cs="Times New Roman"/>
          <w:sz w:val="24"/>
          <w:szCs w:val="24"/>
        </w:rPr>
        <w:t>ó</w:t>
      </w:r>
      <w:r w:rsidRPr="006D3C51">
        <w:rPr>
          <w:rFonts w:ascii="Times New Roman" w:hAnsi="Times New Roman" w:cs="Times New Roman"/>
          <w:sz w:val="24"/>
          <w:szCs w:val="24"/>
        </w:rPr>
        <w:t xml:space="preserve"> a la conclusión de que no se p</w:t>
      </w:r>
      <w:r w:rsidR="00044C30" w:rsidRPr="006D3C51">
        <w:rPr>
          <w:rFonts w:ascii="Times New Roman" w:hAnsi="Times New Roman" w:cs="Times New Roman"/>
          <w:sz w:val="24"/>
          <w:szCs w:val="24"/>
        </w:rPr>
        <w:t>odía</w:t>
      </w:r>
      <w:r w:rsidRPr="006D3C51">
        <w:rPr>
          <w:rFonts w:ascii="Times New Roman" w:hAnsi="Times New Roman" w:cs="Times New Roman"/>
          <w:sz w:val="24"/>
          <w:szCs w:val="24"/>
        </w:rPr>
        <w:t xml:space="preserve"> exigir al Reino Unido que sig</w:t>
      </w:r>
      <w:r w:rsidR="00044C30" w:rsidRPr="006D3C51">
        <w:rPr>
          <w:rFonts w:ascii="Times New Roman" w:hAnsi="Times New Roman" w:cs="Times New Roman"/>
          <w:sz w:val="24"/>
          <w:szCs w:val="24"/>
        </w:rPr>
        <w:t>uiera</w:t>
      </w:r>
      <w:r w:rsidRPr="006D3C51">
        <w:rPr>
          <w:rFonts w:ascii="Times New Roman" w:hAnsi="Times New Roman" w:cs="Times New Roman"/>
          <w:sz w:val="24"/>
          <w:szCs w:val="24"/>
        </w:rPr>
        <w:t xml:space="preserve"> el ejemplo de otros Estados miembros que ya habían regulado la condición de las personas transexuales. Los gobernantes británicos</w:t>
      </w:r>
      <w:r w:rsidR="000A5D21" w:rsidRPr="006D3C51">
        <w:rPr>
          <w:rFonts w:ascii="Times New Roman" w:hAnsi="Times New Roman" w:cs="Times New Roman"/>
          <w:sz w:val="24"/>
          <w:szCs w:val="24"/>
        </w:rPr>
        <w:t xml:space="preserve">, como se acaba de mencionar en términos </w:t>
      </w:r>
      <w:r w:rsidR="000A5D21" w:rsidRPr="006D3C51">
        <w:rPr>
          <w:rFonts w:ascii="Times New Roman" w:hAnsi="Times New Roman" w:cs="Times New Roman"/>
          <w:sz w:val="24"/>
          <w:szCs w:val="24"/>
        </w:rPr>
        <w:lastRenderedPageBreak/>
        <w:t>generales,</w:t>
      </w:r>
      <w:r w:rsidRPr="006D3C51">
        <w:rPr>
          <w:rFonts w:ascii="Times New Roman" w:hAnsi="Times New Roman" w:cs="Times New Roman"/>
          <w:sz w:val="24"/>
          <w:szCs w:val="24"/>
        </w:rPr>
        <w:t xml:space="preserve"> t</w:t>
      </w:r>
      <w:r w:rsidR="00044C30" w:rsidRPr="006D3C51">
        <w:rPr>
          <w:rFonts w:ascii="Times New Roman" w:hAnsi="Times New Roman" w:cs="Times New Roman"/>
          <w:sz w:val="24"/>
          <w:szCs w:val="24"/>
        </w:rPr>
        <w:t>enían</w:t>
      </w:r>
      <w:r w:rsidRPr="006D3C51">
        <w:rPr>
          <w:rFonts w:ascii="Times New Roman" w:hAnsi="Times New Roman" w:cs="Times New Roman"/>
          <w:sz w:val="24"/>
          <w:szCs w:val="24"/>
        </w:rPr>
        <w:t xml:space="preserve"> </w:t>
      </w:r>
      <w:r w:rsidR="00044C30" w:rsidRPr="006D3C51">
        <w:rPr>
          <w:rFonts w:ascii="Times New Roman" w:hAnsi="Times New Roman" w:cs="Times New Roman"/>
          <w:sz w:val="24"/>
          <w:szCs w:val="24"/>
        </w:rPr>
        <w:t xml:space="preserve">un amplio </w:t>
      </w:r>
      <w:r w:rsidRPr="006D3C51">
        <w:rPr>
          <w:rFonts w:ascii="Times New Roman" w:hAnsi="Times New Roman" w:cs="Times New Roman"/>
          <w:sz w:val="24"/>
          <w:szCs w:val="24"/>
        </w:rPr>
        <w:t>margen de apreciación que les permit</w:t>
      </w:r>
      <w:r w:rsidR="00044C30" w:rsidRPr="006D3C51">
        <w:rPr>
          <w:rFonts w:ascii="Times New Roman" w:hAnsi="Times New Roman" w:cs="Times New Roman"/>
          <w:sz w:val="24"/>
          <w:szCs w:val="24"/>
        </w:rPr>
        <w:t>ía</w:t>
      </w:r>
      <w:r w:rsidRPr="006D3C51">
        <w:rPr>
          <w:rFonts w:ascii="Times New Roman" w:hAnsi="Times New Roman" w:cs="Times New Roman"/>
          <w:sz w:val="24"/>
          <w:szCs w:val="24"/>
        </w:rPr>
        <w:t xml:space="preserve"> determinar las medidas que deb</w:t>
      </w:r>
      <w:r w:rsidR="00044C30" w:rsidRPr="006D3C51">
        <w:rPr>
          <w:rFonts w:ascii="Times New Roman" w:hAnsi="Times New Roman" w:cs="Times New Roman"/>
          <w:sz w:val="24"/>
          <w:szCs w:val="24"/>
        </w:rPr>
        <w:t>ían</w:t>
      </w:r>
      <w:r w:rsidRPr="006D3C51">
        <w:rPr>
          <w:rFonts w:ascii="Times New Roman" w:hAnsi="Times New Roman" w:cs="Times New Roman"/>
          <w:sz w:val="24"/>
          <w:szCs w:val="24"/>
        </w:rPr>
        <w:t xml:space="preserve"> tomarse teniendo en cuenta la situación </w:t>
      </w:r>
      <w:r w:rsidR="000D407C" w:rsidRPr="006D3C51">
        <w:rPr>
          <w:rFonts w:ascii="Times New Roman" w:hAnsi="Times New Roman" w:cs="Times New Roman"/>
          <w:sz w:val="24"/>
          <w:szCs w:val="24"/>
        </w:rPr>
        <w:t>interna</w:t>
      </w:r>
      <w:r w:rsidRPr="006D3C51">
        <w:rPr>
          <w:rFonts w:ascii="Times New Roman" w:hAnsi="Times New Roman" w:cs="Times New Roman"/>
          <w:sz w:val="24"/>
          <w:szCs w:val="24"/>
        </w:rPr>
        <w:t xml:space="preserve"> a su país</w:t>
      </w:r>
      <w:r w:rsidR="00044C30" w:rsidRPr="006D3C51">
        <w:rPr>
          <w:rFonts w:ascii="Times New Roman" w:hAnsi="Times New Roman" w:cs="Times New Roman"/>
          <w:sz w:val="24"/>
          <w:szCs w:val="24"/>
        </w:rPr>
        <w:t xml:space="preserve"> (</w:t>
      </w:r>
      <w:r w:rsidR="00122CC1" w:rsidRPr="006D3C51">
        <w:rPr>
          <w:rFonts w:ascii="Times New Roman" w:hAnsi="Times New Roman" w:cs="Times New Roman"/>
          <w:sz w:val="24"/>
          <w:szCs w:val="24"/>
        </w:rPr>
        <w:t xml:space="preserve">§ </w:t>
      </w:r>
      <w:r w:rsidR="00044C30" w:rsidRPr="006D3C51">
        <w:rPr>
          <w:rFonts w:ascii="Times New Roman" w:hAnsi="Times New Roman" w:cs="Times New Roman"/>
          <w:sz w:val="24"/>
          <w:szCs w:val="24"/>
        </w:rPr>
        <w:t>42 a))</w:t>
      </w:r>
      <w:r w:rsidRPr="006D3C51">
        <w:rPr>
          <w:rFonts w:ascii="Times New Roman" w:hAnsi="Times New Roman" w:cs="Times New Roman"/>
          <w:sz w:val="24"/>
          <w:szCs w:val="24"/>
        </w:rPr>
        <w:t xml:space="preserve">. </w:t>
      </w:r>
    </w:p>
    <w:p w14:paraId="0E183DB5" w14:textId="61765A16" w:rsidR="009168FD" w:rsidRPr="006D3C51" w:rsidRDefault="000D407C"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E</w:t>
      </w:r>
      <w:r w:rsidR="00044C30" w:rsidRPr="006D3C51">
        <w:rPr>
          <w:rFonts w:ascii="Times New Roman" w:hAnsi="Times New Roman" w:cs="Times New Roman"/>
          <w:sz w:val="24"/>
          <w:szCs w:val="24"/>
        </w:rPr>
        <w:t>ra</w:t>
      </w:r>
      <w:r w:rsidRPr="006D3C51">
        <w:rPr>
          <w:rFonts w:ascii="Times New Roman" w:hAnsi="Times New Roman" w:cs="Times New Roman"/>
          <w:sz w:val="24"/>
          <w:szCs w:val="24"/>
        </w:rPr>
        <w:t xml:space="preserve"> legítimo, </w:t>
      </w:r>
      <w:r w:rsidR="002A2866" w:rsidRPr="006D3C51">
        <w:rPr>
          <w:rFonts w:ascii="Times New Roman" w:hAnsi="Times New Roman" w:cs="Times New Roman"/>
          <w:sz w:val="24"/>
          <w:szCs w:val="24"/>
        </w:rPr>
        <w:t>pues</w:t>
      </w:r>
      <w:r w:rsidRPr="006D3C51">
        <w:rPr>
          <w:rFonts w:ascii="Times New Roman" w:hAnsi="Times New Roman" w:cs="Times New Roman"/>
          <w:sz w:val="24"/>
          <w:szCs w:val="24"/>
        </w:rPr>
        <w:t>, que el Reino Unido consider</w:t>
      </w:r>
      <w:r w:rsidR="00044C30" w:rsidRPr="006D3C51">
        <w:rPr>
          <w:rFonts w:ascii="Times New Roman" w:hAnsi="Times New Roman" w:cs="Times New Roman"/>
          <w:sz w:val="24"/>
          <w:szCs w:val="24"/>
        </w:rPr>
        <w:t>ara</w:t>
      </w:r>
      <w:r w:rsidRPr="006D3C51">
        <w:rPr>
          <w:rFonts w:ascii="Times New Roman" w:hAnsi="Times New Roman" w:cs="Times New Roman"/>
          <w:sz w:val="24"/>
          <w:szCs w:val="24"/>
        </w:rPr>
        <w:t xml:space="preserve"> que el cambio registral de sexo del Sr. </w:t>
      </w:r>
      <w:proofErr w:type="spellStart"/>
      <w:r w:rsidRPr="006D3C51">
        <w:rPr>
          <w:rFonts w:ascii="Times New Roman" w:hAnsi="Times New Roman" w:cs="Times New Roman"/>
          <w:sz w:val="24"/>
          <w:szCs w:val="24"/>
        </w:rPr>
        <w:t>Rees</w:t>
      </w:r>
      <w:proofErr w:type="spellEnd"/>
      <w:r w:rsidRPr="006D3C51">
        <w:rPr>
          <w:rFonts w:ascii="Times New Roman" w:hAnsi="Times New Roman" w:cs="Times New Roman"/>
          <w:sz w:val="24"/>
          <w:szCs w:val="24"/>
        </w:rPr>
        <w:t xml:space="preserve"> </w:t>
      </w:r>
      <w:r w:rsidR="009168FD" w:rsidRPr="006D3C51">
        <w:rPr>
          <w:rFonts w:ascii="Times New Roman" w:hAnsi="Times New Roman" w:cs="Times New Roman"/>
          <w:sz w:val="24"/>
          <w:szCs w:val="24"/>
        </w:rPr>
        <w:t>pu</w:t>
      </w:r>
      <w:r w:rsidR="00044C30" w:rsidRPr="006D3C51">
        <w:rPr>
          <w:rFonts w:ascii="Times New Roman" w:hAnsi="Times New Roman" w:cs="Times New Roman"/>
          <w:sz w:val="24"/>
          <w:szCs w:val="24"/>
        </w:rPr>
        <w:t>diera</w:t>
      </w:r>
      <w:r w:rsidR="009168FD" w:rsidRPr="006D3C51">
        <w:rPr>
          <w:rFonts w:ascii="Times New Roman" w:hAnsi="Times New Roman" w:cs="Times New Roman"/>
          <w:sz w:val="24"/>
          <w:szCs w:val="24"/>
        </w:rPr>
        <w:t xml:space="preserve"> provocar </w:t>
      </w:r>
      <w:r w:rsidRPr="006D3C51">
        <w:rPr>
          <w:rFonts w:ascii="Times New Roman" w:hAnsi="Times New Roman" w:cs="Times New Roman"/>
          <w:sz w:val="24"/>
          <w:szCs w:val="24"/>
        </w:rPr>
        <w:t xml:space="preserve">resultados perjudiciales </w:t>
      </w:r>
      <w:r w:rsidR="009168FD" w:rsidRPr="006D3C51">
        <w:rPr>
          <w:rFonts w:ascii="Times New Roman" w:hAnsi="Times New Roman" w:cs="Times New Roman"/>
          <w:sz w:val="24"/>
          <w:szCs w:val="24"/>
        </w:rPr>
        <w:t xml:space="preserve">para el interés público </w:t>
      </w:r>
      <w:r w:rsidRPr="006D3C51">
        <w:rPr>
          <w:rFonts w:ascii="Times New Roman" w:hAnsi="Times New Roman" w:cs="Times New Roman"/>
          <w:sz w:val="24"/>
          <w:szCs w:val="24"/>
        </w:rPr>
        <w:t>en las cuestiones de hecho que se suscitar</w:t>
      </w:r>
      <w:r w:rsidR="009168FD" w:rsidRPr="006D3C51">
        <w:rPr>
          <w:rFonts w:ascii="Times New Roman" w:hAnsi="Times New Roman" w:cs="Times New Roman"/>
          <w:sz w:val="24"/>
          <w:szCs w:val="24"/>
        </w:rPr>
        <w:t>an posteriormente</w:t>
      </w:r>
      <w:r w:rsidRPr="006D3C51">
        <w:rPr>
          <w:rFonts w:ascii="Times New Roman" w:hAnsi="Times New Roman" w:cs="Times New Roman"/>
          <w:sz w:val="24"/>
          <w:szCs w:val="24"/>
        </w:rPr>
        <w:t xml:space="preserve">, por </w:t>
      </w:r>
      <w:r w:rsidR="0026749E" w:rsidRPr="006D3C51">
        <w:rPr>
          <w:rFonts w:ascii="Times New Roman" w:hAnsi="Times New Roman" w:cs="Times New Roman"/>
          <w:sz w:val="24"/>
          <w:szCs w:val="24"/>
        </w:rPr>
        <w:t>ejemplo,</w:t>
      </w:r>
      <w:r w:rsidRPr="006D3C51">
        <w:rPr>
          <w:rFonts w:ascii="Times New Roman" w:hAnsi="Times New Roman" w:cs="Times New Roman"/>
          <w:sz w:val="24"/>
          <w:szCs w:val="24"/>
        </w:rPr>
        <w:t xml:space="preserve"> en el ámbito del Derecho de familia y del de Sucesiones</w:t>
      </w:r>
      <w:r w:rsidR="009168FD" w:rsidRPr="006D3C51">
        <w:rPr>
          <w:rFonts w:ascii="Times New Roman" w:hAnsi="Times New Roman" w:cs="Times New Roman"/>
          <w:sz w:val="24"/>
          <w:szCs w:val="24"/>
        </w:rPr>
        <w:t>, o para el régimen matrimonial, el desempeño de algunos puestos de trabajo y para la jubilación</w:t>
      </w:r>
      <w:r w:rsidR="00044C30" w:rsidRPr="006D3C51">
        <w:rPr>
          <w:rFonts w:ascii="Times New Roman" w:hAnsi="Times New Roman" w:cs="Times New Roman"/>
          <w:sz w:val="24"/>
          <w:szCs w:val="24"/>
        </w:rPr>
        <w:t xml:space="preserve"> (</w:t>
      </w:r>
      <w:r w:rsidR="00122CC1" w:rsidRPr="006D3C51">
        <w:rPr>
          <w:rFonts w:ascii="Times New Roman" w:hAnsi="Times New Roman" w:cs="Times New Roman"/>
          <w:sz w:val="24"/>
          <w:szCs w:val="24"/>
        </w:rPr>
        <w:t xml:space="preserve">§§ </w:t>
      </w:r>
      <w:r w:rsidR="00044C30" w:rsidRPr="006D3C51">
        <w:rPr>
          <w:rFonts w:ascii="Times New Roman" w:hAnsi="Times New Roman" w:cs="Times New Roman"/>
          <w:sz w:val="24"/>
          <w:szCs w:val="24"/>
        </w:rPr>
        <w:t>42-43)</w:t>
      </w:r>
      <w:r w:rsidR="009168FD" w:rsidRPr="006D3C51">
        <w:rPr>
          <w:rFonts w:ascii="Times New Roman" w:hAnsi="Times New Roman" w:cs="Times New Roman"/>
          <w:sz w:val="24"/>
          <w:szCs w:val="24"/>
        </w:rPr>
        <w:t xml:space="preserve">. </w:t>
      </w:r>
    </w:p>
    <w:p w14:paraId="7745E756" w14:textId="008DE6F6" w:rsidR="009168FD" w:rsidRPr="006D3C51" w:rsidRDefault="009168FD"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Todo ello en consideración, </w:t>
      </w:r>
      <w:r w:rsidR="00044C30" w:rsidRPr="006D3C51">
        <w:rPr>
          <w:rFonts w:ascii="Times New Roman" w:hAnsi="Times New Roman" w:cs="Times New Roman"/>
          <w:sz w:val="24"/>
          <w:szCs w:val="24"/>
        </w:rPr>
        <w:t xml:space="preserve">recordó una vez más el TEDH, </w:t>
      </w:r>
      <w:r w:rsidRPr="006D3C51">
        <w:rPr>
          <w:rFonts w:ascii="Times New Roman" w:hAnsi="Times New Roman" w:cs="Times New Roman"/>
          <w:sz w:val="24"/>
          <w:szCs w:val="24"/>
        </w:rPr>
        <w:t>también, d</w:t>
      </w:r>
      <w:r w:rsidR="00DA3B68" w:rsidRPr="006D3C51">
        <w:rPr>
          <w:rFonts w:ascii="Times New Roman" w:hAnsi="Times New Roman" w:cs="Times New Roman"/>
          <w:sz w:val="24"/>
          <w:szCs w:val="24"/>
        </w:rPr>
        <w:t xml:space="preserve">el amplio margen discrecional que se reconoce en esta materia a los Estados y </w:t>
      </w:r>
      <w:r w:rsidRPr="006D3C51">
        <w:rPr>
          <w:rFonts w:ascii="Times New Roman" w:hAnsi="Times New Roman" w:cs="Times New Roman"/>
          <w:sz w:val="24"/>
          <w:szCs w:val="24"/>
        </w:rPr>
        <w:t xml:space="preserve">de </w:t>
      </w:r>
      <w:r w:rsidR="00DA3B68" w:rsidRPr="006D3C51">
        <w:rPr>
          <w:rFonts w:ascii="Times New Roman" w:hAnsi="Times New Roman" w:cs="Times New Roman"/>
          <w:sz w:val="24"/>
          <w:szCs w:val="24"/>
        </w:rPr>
        <w:t>la necesidad de proteger los intereses ajenos para conseguir el equilibrio al que antes se ha aludido</w:t>
      </w:r>
      <w:r w:rsidRPr="006D3C51">
        <w:rPr>
          <w:rFonts w:ascii="Times New Roman" w:hAnsi="Times New Roman" w:cs="Times New Roman"/>
          <w:sz w:val="24"/>
          <w:szCs w:val="24"/>
        </w:rPr>
        <w:t xml:space="preserve">. Por tanto, dado que </w:t>
      </w:r>
      <w:r w:rsidR="00DA3B68" w:rsidRPr="006D3C51">
        <w:rPr>
          <w:rFonts w:ascii="Times New Roman" w:hAnsi="Times New Roman" w:cs="Times New Roman"/>
          <w:sz w:val="24"/>
          <w:szCs w:val="24"/>
        </w:rPr>
        <w:t>las obligaciones positivas que resultan del artículo 8</w:t>
      </w:r>
      <w:r w:rsidRPr="006D3C51">
        <w:rPr>
          <w:rFonts w:ascii="Times New Roman" w:hAnsi="Times New Roman" w:cs="Times New Roman"/>
          <w:sz w:val="24"/>
          <w:szCs w:val="24"/>
        </w:rPr>
        <w:t xml:space="preserve"> CEDH</w:t>
      </w:r>
      <w:r w:rsidR="00DA3B68" w:rsidRPr="006D3C51">
        <w:rPr>
          <w:rFonts w:ascii="Times New Roman" w:hAnsi="Times New Roman" w:cs="Times New Roman"/>
          <w:sz w:val="24"/>
          <w:szCs w:val="24"/>
        </w:rPr>
        <w:t xml:space="preserve"> no pueden llegar hasta este extremo</w:t>
      </w:r>
      <w:r w:rsidRPr="006D3C51">
        <w:rPr>
          <w:rFonts w:ascii="Times New Roman" w:hAnsi="Times New Roman" w:cs="Times New Roman"/>
          <w:sz w:val="24"/>
          <w:szCs w:val="24"/>
        </w:rPr>
        <w:t>, el Reino Unido</w:t>
      </w:r>
      <w:r w:rsidR="00DA3B68" w:rsidRPr="006D3C51">
        <w:rPr>
          <w:rFonts w:ascii="Times New Roman" w:hAnsi="Times New Roman" w:cs="Times New Roman"/>
          <w:sz w:val="24"/>
          <w:szCs w:val="24"/>
        </w:rPr>
        <w:t xml:space="preserve"> no violó el artículo 8</w:t>
      </w:r>
      <w:r w:rsidRPr="006D3C51">
        <w:rPr>
          <w:rFonts w:ascii="Times New Roman" w:hAnsi="Times New Roman" w:cs="Times New Roman"/>
          <w:sz w:val="24"/>
          <w:szCs w:val="24"/>
        </w:rPr>
        <w:t xml:space="preserve"> CEDH</w:t>
      </w:r>
      <w:r w:rsidR="00044C30" w:rsidRPr="006D3C51">
        <w:rPr>
          <w:rFonts w:ascii="Times New Roman" w:hAnsi="Times New Roman" w:cs="Times New Roman"/>
          <w:sz w:val="24"/>
          <w:szCs w:val="24"/>
        </w:rPr>
        <w:t xml:space="preserve"> (</w:t>
      </w:r>
      <w:r w:rsidR="00122CC1" w:rsidRPr="006D3C51">
        <w:rPr>
          <w:rFonts w:ascii="Times New Roman" w:hAnsi="Times New Roman" w:cs="Times New Roman"/>
          <w:sz w:val="24"/>
          <w:szCs w:val="24"/>
        </w:rPr>
        <w:t xml:space="preserve">§§ </w:t>
      </w:r>
      <w:r w:rsidR="00044C30" w:rsidRPr="006D3C51">
        <w:rPr>
          <w:rFonts w:ascii="Times New Roman" w:hAnsi="Times New Roman" w:cs="Times New Roman"/>
          <w:sz w:val="24"/>
          <w:szCs w:val="24"/>
        </w:rPr>
        <w:t>44 y 46)</w:t>
      </w:r>
      <w:r w:rsidR="00D33000">
        <w:rPr>
          <w:rStyle w:val="Refdenotaalpie"/>
          <w:rFonts w:ascii="Times New Roman" w:hAnsi="Times New Roman" w:cs="Times New Roman"/>
          <w:sz w:val="24"/>
          <w:szCs w:val="24"/>
        </w:rPr>
        <w:footnoteReference w:id="7"/>
      </w:r>
      <w:r w:rsidR="00DA3B68" w:rsidRPr="006D3C51">
        <w:rPr>
          <w:rFonts w:ascii="Times New Roman" w:hAnsi="Times New Roman" w:cs="Times New Roman"/>
          <w:sz w:val="24"/>
          <w:szCs w:val="24"/>
        </w:rPr>
        <w:t xml:space="preserve">. </w:t>
      </w:r>
    </w:p>
    <w:p w14:paraId="42FEF221" w14:textId="1349AE36" w:rsidR="007B6DFC" w:rsidRPr="006D3C51" w:rsidRDefault="009168FD"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El Tribunal añadió algo interesante para las finalidades de este trabajo: </w:t>
      </w:r>
      <w:r w:rsidR="005E11F8" w:rsidRPr="006D3C51">
        <w:rPr>
          <w:rFonts w:ascii="Times New Roman" w:hAnsi="Times New Roman" w:cs="Times New Roman"/>
          <w:sz w:val="24"/>
          <w:szCs w:val="24"/>
        </w:rPr>
        <w:t>“</w:t>
      </w:r>
      <w:r w:rsidR="005E11F8" w:rsidRPr="006D3C51">
        <w:rPr>
          <w:rFonts w:ascii="Times New Roman" w:hAnsi="Times New Roman" w:cs="Times New Roman"/>
          <w:i/>
          <w:sz w:val="24"/>
          <w:szCs w:val="24"/>
        </w:rPr>
        <w:t>hay que dejar, por el momento, al correspondiente Estado la determinación de hasta qué punto puede tener en cuenta las restantes pretensiones de los transexuales. Sin embargo, el Tribunal comprende la gravedad de los problemas con que se tropiezan estas personas y la angustia que sufren. El Convenio se ha de interpretar y aplicar siempre a la vista de las circunstancias del momento […]. Por consiguiente, la necesidad de medidas legales adecuadas debe traducirse en un estudio constante, teniendo en cuenta, especialmente, el desarrollo científico y social</w:t>
      </w:r>
      <w:r w:rsidR="005E11F8" w:rsidRPr="006D3C51">
        <w:rPr>
          <w:rFonts w:ascii="Times New Roman" w:hAnsi="Times New Roman" w:cs="Times New Roman"/>
          <w:sz w:val="24"/>
          <w:szCs w:val="24"/>
        </w:rPr>
        <w:t>”</w:t>
      </w:r>
      <w:r w:rsidR="00537FA0" w:rsidRPr="006D3C51">
        <w:rPr>
          <w:rFonts w:ascii="Times New Roman" w:hAnsi="Times New Roman" w:cs="Times New Roman"/>
          <w:sz w:val="24"/>
          <w:szCs w:val="24"/>
        </w:rPr>
        <w:t xml:space="preserve"> (</w:t>
      </w:r>
      <w:r w:rsidR="00122CC1" w:rsidRPr="006D3C51">
        <w:rPr>
          <w:rFonts w:ascii="Times New Roman" w:hAnsi="Times New Roman" w:cs="Times New Roman"/>
          <w:sz w:val="24"/>
          <w:szCs w:val="24"/>
        </w:rPr>
        <w:t xml:space="preserve">§ </w:t>
      </w:r>
      <w:r w:rsidR="00537FA0" w:rsidRPr="006D3C51">
        <w:rPr>
          <w:rFonts w:ascii="Times New Roman" w:hAnsi="Times New Roman" w:cs="Times New Roman"/>
          <w:sz w:val="24"/>
          <w:szCs w:val="24"/>
        </w:rPr>
        <w:t>47)</w:t>
      </w:r>
      <w:r w:rsidR="00557B68" w:rsidRPr="006D3C51">
        <w:rPr>
          <w:rFonts w:ascii="Times New Roman" w:hAnsi="Times New Roman" w:cs="Times New Roman"/>
          <w:sz w:val="24"/>
          <w:szCs w:val="24"/>
        </w:rPr>
        <w:t xml:space="preserve">. </w:t>
      </w:r>
    </w:p>
    <w:p w14:paraId="17183714" w14:textId="0FDE64FB" w:rsidR="00557B68" w:rsidRPr="006D3C51" w:rsidRDefault="00557B68"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De este modo, la Corte de Estrasburgo dejó abierta la posibilidad de que, si </w:t>
      </w:r>
      <w:r w:rsidR="007B6DFC" w:rsidRPr="006D3C51">
        <w:rPr>
          <w:rFonts w:ascii="Times New Roman" w:hAnsi="Times New Roman" w:cs="Times New Roman"/>
          <w:sz w:val="24"/>
          <w:szCs w:val="24"/>
        </w:rPr>
        <w:t xml:space="preserve">con el tiempo </w:t>
      </w:r>
      <w:r w:rsidR="00122CC1" w:rsidRPr="006D3C51">
        <w:rPr>
          <w:rFonts w:ascii="Times New Roman" w:hAnsi="Times New Roman" w:cs="Times New Roman"/>
          <w:sz w:val="24"/>
          <w:szCs w:val="24"/>
        </w:rPr>
        <w:t xml:space="preserve">hubieran </w:t>
      </w:r>
      <w:r w:rsidR="007B6DFC" w:rsidRPr="006D3C51">
        <w:rPr>
          <w:rFonts w:ascii="Times New Roman" w:hAnsi="Times New Roman" w:cs="Times New Roman"/>
          <w:sz w:val="24"/>
          <w:szCs w:val="24"/>
        </w:rPr>
        <w:t>cambiado</w:t>
      </w:r>
      <w:r w:rsidRPr="006D3C51">
        <w:rPr>
          <w:rFonts w:ascii="Times New Roman" w:hAnsi="Times New Roman" w:cs="Times New Roman"/>
          <w:sz w:val="24"/>
          <w:szCs w:val="24"/>
        </w:rPr>
        <w:t xml:space="preserve"> las circunstancias, se </w:t>
      </w:r>
      <w:r w:rsidR="007B6DFC" w:rsidRPr="006D3C51">
        <w:rPr>
          <w:rFonts w:ascii="Times New Roman" w:hAnsi="Times New Roman" w:cs="Times New Roman"/>
          <w:sz w:val="24"/>
          <w:szCs w:val="24"/>
        </w:rPr>
        <w:t>hubiera podido</w:t>
      </w:r>
      <w:r w:rsidRPr="006D3C51">
        <w:rPr>
          <w:rFonts w:ascii="Times New Roman" w:hAnsi="Times New Roman" w:cs="Times New Roman"/>
          <w:sz w:val="24"/>
          <w:szCs w:val="24"/>
        </w:rPr>
        <w:t xml:space="preserve"> restringir el margen de apreciación estatal en este ámbito o que, cuando menos, la ponderación entre el interés estatal y el del particular </w:t>
      </w:r>
      <w:r w:rsidR="007B6DFC" w:rsidRPr="006D3C51">
        <w:rPr>
          <w:rFonts w:ascii="Times New Roman" w:hAnsi="Times New Roman" w:cs="Times New Roman"/>
          <w:sz w:val="24"/>
          <w:szCs w:val="24"/>
        </w:rPr>
        <w:t>pueda llevar</w:t>
      </w:r>
      <w:r w:rsidRPr="006D3C51">
        <w:rPr>
          <w:rFonts w:ascii="Times New Roman" w:hAnsi="Times New Roman" w:cs="Times New Roman"/>
          <w:sz w:val="24"/>
          <w:szCs w:val="24"/>
        </w:rPr>
        <w:t xml:space="preserve"> a una conclusión diferente</w:t>
      </w:r>
      <w:r w:rsidR="003D761F" w:rsidRPr="006D3C51">
        <w:rPr>
          <w:rFonts w:ascii="Times New Roman" w:hAnsi="Times New Roman" w:cs="Times New Roman"/>
          <w:sz w:val="24"/>
          <w:szCs w:val="24"/>
        </w:rPr>
        <w:t>, más favorable para la persona transexual y más atenta a la que el mismo Tribunal Europeo denomina una condición grave, problemática y angustiosa</w:t>
      </w:r>
      <w:r w:rsidRPr="006D3C51">
        <w:rPr>
          <w:rFonts w:ascii="Times New Roman" w:hAnsi="Times New Roman" w:cs="Times New Roman"/>
          <w:sz w:val="24"/>
          <w:szCs w:val="24"/>
        </w:rPr>
        <w:t xml:space="preserve">. </w:t>
      </w:r>
    </w:p>
    <w:p w14:paraId="3AD462D2" w14:textId="6F6E53E5" w:rsidR="00A47340" w:rsidRPr="006D3C51" w:rsidRDefault="0084343C"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En esta línea, l</w:t>
      </w:r>
      <w:r w:rsidR="00A47340" w:rsidRPr="006D3C51">
        <w:rPr>
          <w:rFonts w:ascii="Times New Roman" w:hAnsi="Times New Roman" w:cs="Times New Roman"/>
          <w:sz w:val="24"/>
          <w:szCs w:val="24"/>
        </w:rPr>
        <w:t xml:space="preserve">os jueces </w:t>
      </w:r>
      <w:proofErr w:type="spellStart"/>
      <w:r w:rsidR="005E2EA8" w:rsidRPr="006D3C51">
        <w:rPr>
          <w:rFonts w:ascii="Times New Roman" w:hAnsi="Times New Roman" w:cs="Times New Roman"/>
          <w:sz w:val="24"/>
          <w:szCs w:val="24"/>
        </w:rPr>
        <w:t>Bindschedler</w:t>
      </w:r>
      <w:proofErr w:type="spellEnd"/>
      <w:r w:rsidR="005E2EA8" w:rsidRPr="006D3C51">
        <w:rPr>
          <w:rFonts w:ascii="Times New Roman" w:hAnsi="Times New Roman" w:cs="Times New Roman"/>
          <w:sz w:val="24"/>
          <w:szCs w:val="24"/>
        </w:rPr>
        <w:t>-Robert, Russo y</w:t>
      </w:r>
      <w:r w:rsidR="00A47340" w:rsidRPr="006D3C51">
        <w:rPr>
          <w:rFonts w:ascii="Times New Roman" w:hAnsi="Times New Roman" w:cs="Times New Roman"/>
          <w:sz w:val="24"/>
          <w:szCs w:val="24"/>
        </w:rPr>
        <w:t xml:space="preserve"> </w:t>
      </w:r>
      <w:proofErr w:type="spellStart"/>
      <w:r w:rsidR="005E2EA8" w:rsidRPr="006D3C51">
        <w:rPr>
          <w:rFonts w:ascii="Times New Roman" w:hAnsi="Times New Roman" w:cs="Times New Roman"/>
          <w:sz w:val="24"/>
          <w:szCs w:val="24"/>
        </w:rPr>
        <w:t>Gersing</w:t>
      </w:r>
      <w:proofErr w:type="spellEnd"/>
      <w:r w:rsidR="00A47340" w:rsidRPr="006D3C51">
        <w:rPr>
          <w:rFonts w:ascii="Times New Roman" w:hAnsi="Times New Roman" w:cs="Times New Roman"/>
          <w:sz w:val="24"/>
          <w:szCs w:val="24"/>
        </w:rPr>
        <w:t>, en su voto particular disidente, ponderaron de una manera distinta respecto de la mayoría del Tribunal los intereses contrapuestos, demostrándose</w:t>
      </w:r>
      <w:r w:rsidR="003264D1" w:rsidRPr="006D3C51">
        <w:rPr>
          <w:rFonts w:ascii="Times New Roman" w:hAnsi="Times New Roman" w:cs="Times New Roman"/>
          <w:sz w:val="24"/>
          <w:szCs w:val="24"/>
        </w:rPr>
        <w:t xml:space="preserve">, </w:t>
      </w:r>
      <w:r w:rsidR="00626072">
        <w:rPr>
          <w:rFonts w:ascii="Times New Roman" w:hAnsi="Times New Roman" w:cs="Times New Roman"/>
          <w:sz w:val="24"/>
          <w:szCs w:val="24"/>
        </w:rPr>
        <w:t>ya</w:t>
      </w:r>
      <w:r w:rsidR="003264D1" w:rsidRPr="006D3C51">
        <w:rPr>
          <w:rFonts w:ascii="Times New Roman" w:hAnsi="Times New Roman" w:cs="Times New Roman"/>
          <w:sz w:val="24"/>
          <w:szCs w:val="24"/>
        </w:rPr>
        <w:t xml:space="preserve"> en aquel</w:t>
      </w:r>
      <w:r w:rsidR="00626072">
        <w:rPr>
          <w:rFonts w:ascii="Times New Roman" w:hAnsi="Times New Roman" w:cs="Times New Roman"/>
          <w:sz w:val="24"/>
          <w:szCs w:val="24"/>
        </w:rPr>
        <w:t>los tiempos</w:t>
      </w:r>
      <w:r w:rsidR="003264D1" w:rsidRPr="006D3C51">
        <w:rPr>
          <w:rFonts w:ascii="Times New Roman" w:hAnsi="Times New Roman" w:cs="Times New Roman"/>
          <w:sz w:val="24"/>
          <w:szCs w:val="24"/>
        </w:rPr>
        <w:t>,</w:t>
      </w:r>
      <w:r w:rsidR="00A47340" w:rsidRPr="006D3C51">
        <w:rPr>
          <w:rFonts w:ascii="Times New Roman" w:hAnsi="Times New Roman" w:cs="Times New Roman"/>
          <w:sz w:val="24"/>
          <w:szCs w:val="24"/>
        </w:rPr>
        <w:t xml:space="preserve"> mucho más respetuosos de los derechos de las personas transexuales y reduciendo considerablemente la importancia que pu</w:t>
      </w:r>
      <w:r w:rsidR="007B6DFC" w:rsidRPr="006D3C51">
        <w:rPr>
          <w:rFonts w:ascii="Times New Roman" w:hAnsi="Times New Roman" w:cs="Times New Roman"/>
          <w:sz w:val="24"/>
          <w:szCs w:val="24"/>
        </w:rPr>
        <w:t>diera</w:t>
      </w:r>
      <w:r w:rsidR="00A47340" w:rsidRPr="006D3C51">
        <w:rPr>
          <w:rFonts w:ascii="Times New Roman" w:hAnsi="Times New Roman" w:cs="Times New Roman"/>
          <w:sz w:val="24"/>
          <w:szCs w:val="24"/>
        </w:rPr>
        <w:t xml:space="preserve"> tener, respecto del interés nacional, el cambio de sexo del Sr. </w:t>
      </w:r>
      <w:proofErr w:type="spellStart"/>
      <w:r w:rsidR="00A47340" w:rsidRPr="006D3C51">
        <w:rPr>
          <w:rFonts w:ascii="Times New Roman" w:hAnsi="Times New Roman" w:cs="Times New Roman"/>
          <w:sz w:val="24"/>
          <w:szCs w:val="24"/>
        </w:rPr>
        <w:t>Rees</w:t>
      </w:r>
      <w:proofErr w:type="spellEnd"/>
      <w:r w:rsidR="00A47340" w:rsidRPr="006D3C51">
        <w:rPr>
          <w:rFonts w:ascii="Times New Roman" w:hAnsi="Times New Roman" w:cs="Times New Roman"/>
          <w:sz w:val="24"/>
          <w:szCs w:val="24"/>
        </w:rPr>
        <w:t xml:space="preserve"> en el Registro de nacimientos. De las declaraciones de los jueces disidentes se deduce perfectamente </w:t>
      </w:r>
      <w:r w:rsidR="008D2964" w:rsidRPr="006D3C51">
        <w:rPr>
          <w:rFonts w:ascii="Times New Roman" w:hAnsi="Times New Roman" w:cs="Times New Roman"/>
          <w:sz w:val="24"/>
          <w:szCs w:val="24"/>
        </w:rPr>
        <w:t xml:space="preserve">que la falta de la anotación del cambio de sexo en los registros administrativos provocaba un sufrimiento y una afectación de su derecho a la vida privada </w:t>
      </w:r>
      <w:r w:rsidR="005E2EA8" w:rsidRPr="006D3C51">
        <w:rPr>
          <w:rFonts w:ascii="Times New Roman" w:hAnsi="Times New Roman" w:cs="Times New Roman"/>
          <w:sz w:val="24"/>
          <w:szCs w:val="24"/>
        </w:rPr>
        <w:t xml:space="preserve">que no podían considerarse proporcionados con la protección del interés nacional. </w:t>
      </w:r>
    </w:p>
    <w:p w14:paraId="6A664C77" w14:textId="0E06483F" w:rsidR="009D369A" w:rsidRPr="006D3C51" w:rsidRDefault="000507D2"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Finalmente, e</w:t>
      </w:r>
      <w:r w:rsidR="009D369A" w:rsidRPr="006D3C51">
        <w:rPr>
          <w:rFonts w:ascii="Times New Roman" w:hAnsi="Times New Roman" w:cs="Times New Roman"/>
          <w:sz w:val="24"/>
          <w:szCs w:val="24"/>
        </w:rPr>
        <w:t>n relación con la violación del art. 12 CEDH, el Tribunal contestó con firmeza que ese artículo se ref</w:t>
      </w:r>
      <w:r w:rsidR="002F62C3" w:rsidRPr="006D3C51">
        <w:rPr>
          <w:rFonts w:ascii="Times New Roman" w:hAnsi="Times New Roman" w:cs="Times New Roman"/>
          <w:sz w:val="24"/>
          <w:szCs w:val="24"/>
        </w:rPr>
        <w:t>ería (y, en 202</w:t>
      </w:r>
      <w:r w:rsidR="00626072">
        <w:rPr>
          <w:rFonts w:ascii="Times New Roman" w:hAnsi="Times New Roman" w:cs="Times New Roman"/>
          <w:sz w:val="24"/>
          <w:szCs w:val="24"/>
        </w:rPr>
        <w:t>2</w:t>
      </w:r>
      <w:r w:rsidR="002F62C3" w:rsidRPr="006D3C51">
        <w:rPr>
          <w:rFonts w:ascii="Times New Roman" w:hAnsi="Times New Roman" w:cs="Times New Roman"/>
          <w:sz w:val="24"/>
          <w:szCs w:val="24"/>
        </w:rPr>
        <w:t>, esta afirmación no ha cambiado)</w:t>
      </w:r>
      <w:r w:rsidR="009D369A" w:rsidRPr="006D3C51">
        <w:rPr>
          <w:rFonts w:ascii="Times New Roman" w:hAnsi="Times New Roman" w:cs="Times New Roman"/>
          <w:sz w:val="24"/>
          <w:szCs w:val="24"/>
        </w:rPr>
        <w:t xml:space="preserve"> al matrimonio </w:t>
      </w:r>
      <w:r w:rsidR="00626072">
        <w:rPr>
          <w:rFonts w:ascii="Times New Roman" w:hAnsi="Times New Roman" w:cs="Times New Roman"/>
          <w:sz w:val="24"/>
          <w:szCs w:val="24"/>
        </w:rPr>
        <w:t>“</w:t>
      </w:r>
      <w:r w:rsidR="009D369A" w:rsidRPr="006D3C51">
        <w:rPr>
          <w:rFonts w:ascii="Times New Roman" w:hAnsi="Times New Roman" w:cs="Times New Roman"/>
          <w:sz w:val="24"/>
          <w:szCs w:val="24"/>
        </w:rPr>
        <w:t>tradicional</w:t>
      </w:r>
      <w:r w:rsidR="00626072">
        <w:rPr>
          <w:rFonts w:ascii="Times New Roman" w:hAnsi="Times New Roman" w:cs="Times New Roman"/>
          <w:sz w:val="24"/>
          <w:szCs w:val="24"/>
        </w:rPr>
        <w:t>”</w:t>
      </w:r>
      <w:r w:rsidR="009D369A" w:rsidRPr="006D3C51">
        <w:rPr>
          <w:rFonts w:ascii="Times New Roman" w:hAnsi="Times New Roman" w:cs="Times New Roman"/>
          <w:sz w:val="24"/>
          <w:szCs w:val="24"/>
        </w:rPr>
        <w:t xml:space="preserve"> entre dos personas de sexo biológico</w:t>
      </w:r>
      <w:r w:rsidR="007F4112" w:rsidRPr="006D3C51">
        <w:rPr>
          <w:rFonts w:ascii="Times New Roman" w:hAnsi="Times New Roman" w:cs="Times New Roman"/>
          <w:sz w:val="24"/>
          <w:szCs w:val="24"/>
        </w:rPr>
        <w:t xml:space="preserve"> distinto, siendo l</w:t>
      </w:r>
      <w:r w:rsidR="009D369A" w:rsidRPr="006D3C51">
        <w:rPr>
          <w:rFonts w:ascii="Times New Roman" w:hAnsi="Times New Roman" w:cs="Times New Roman"/>
          <w:sz w:val="24"/>
          <w:szCs w:val="24"/>
        </w:rPr>
        <w:t>a finalidad principal proteger el matrimonio como fundamento de la familia</w:t>
      </w:r>
      <w:r w:rsidR="002F62C3" w:rsidRPr="006D3C51">
        <w:rPr>
          <w:rFonts w:ascii="Times New Roman" w:hAnsi="Times New Roman" w:cs="Times New Roman"/>
          <w:sz w:val="24"/>
          <w:szCs w:val="24"/>
        </w:rPr>
        <w:t xml:space="preserve"> (</w:t>
      </w:r>
      <w:r w:rsidR="002D438B" w:rsidRPr="006D3C51">
        <w:rPr>
          <w:rFonts w:ascii="Times New Roman" w:hAnsi="Times New Roman" w:cs="Times New Roman"/>
          <w:sz w:val="24"/>
          <w:szCs w:val="24"/>
        </w:rPr>
        <w:t xml:space="preserve">§ </w:t>
      </w:r>
      <w:r w:rsidR="002F62C3" w:rsidRPr="006D3C51">
        <w:rPr>
          <w:rFonts w:ascii="Times New Roman" w:hAnsi="Times New Roman" w:cs="Times New Roman"/>
          <w:sz w:val="24"/>
          <w:szCs w:val="24"/>
        </w:rPr>
        <w:t>49)</w:t>
      </w:r>
      <w:r w:rsidR="009D369A" w:rsidRPr="006D3C51">
        <w:rPr>
          <w:rFonts w:ascii="Times New Roman" w:hAnsi="Times New Roman" w:cs="Times New Roman"/>
          <w:sz w:val="24"/>
          <w:szCs w:val="24"/>
        </w:rPr>
        <w:t>.</w:t>
      </w:r>
      <w:r w:rsidR="007F4112" w:rsidRPr="006D3C51">
        <w:rPr>
          <w:rFonts w:ascii="Times New Roman" w:hAnsi="Times New Roman" w:cs="Times New Roman"/>
          <w:sz w:val="24"/>
          <w:szCs w:val="24"/>
        </w:rPr>
        <w:t xml:space="preserve"> Asimismo, el art. 12 CEDH, al establecer que </w:t>
      </w:r>
      <w:r w:rsidR="009D369A" w:rsidRPr="006D3C51">
        <w:rPr>
          <w:rFonts w:ascii="Times New Roman" w:hAnsi="Times New Roman" w:cs="Times New Roman"/>
          <w:sz w:val="24"/>
          <w:szCs w:val="24"/>
        </w:rPr>
        <w:t xml:space="preserve">el ejercicio de este derecho </w:t>
      </w:r>
      <w:r w:rsidR="007F4112" w:rsidRPr="006D3C51">
        <w:rPr>
          <w:rFonts w:ascii="Times New Roman" w:hAnsi="Times New Roman" w:cs="Times New Roman"/>
          <w:sz w:val="24"/>
          <w:szCs w:val="24"/>
        </w:rPr>
        <w:t>estará sometido</w:t>
      </w:r>
      <w:r w:rsidR="009D369A" w:rsidRPr="006D3C51">
        <w:rPr>
          <w:rFonts w:ascii="Times New Roman" w:hAnsi="Times New Roman" w:cs="Times New Roman"/>
          <w:sz w:val="24"/>
          <w:szCs w:val="24"/>
        </w:rPr>
        <w:t xml:space="preserve"> a las leyes del Estado de que se trate</w:t>
      </w:r>
      <w:r w:rsidR="007F4112" w:rsidRPr="006D3C51">
        <w:rPr>
          <w:rFonts w:ascii="Times New Roman" w:hAnsi="Times New Roman" w:cs="Times New Roman"/>
          <w:sz w:val="24"/>
          <w:szCs w:val="24"/>
        </w:rPr>
        <w:t xml:space="preserve">, reconoce la posibilidad que los Estados miembros </w:t>
      </w:r>
      <w:r w:rsidR="007F4112" w:rsidRPr="006D3C51">
        <w:rPr>
          <w:rFonts w:ascii="Times New Roman" w:hAnsi="Times New Roman" w:cs="Times New Roman"/>
          <w:sz w:val="24"/>
          <w:szCs w:val="24"/>
        </w:rPr>
        <w:lastRenderedPageBreak/>
        <w:t>impongan determinados requisitos para el acceso al matrimonio, entre los cuales puede encontrarse la diferencia de sexo de los futuros cónyuges, como prescrito por las leyes británicas</w:t>
      </w:r>
      <w:r w:rsidR="002F62C3" w:rsidRPr="006D3C51">
        <w:rPr>
          <w:rFonts w:ascii="Times New Roman" w:hAnsi="Times New Roman" w:cs="Times New Roman"/>
          <w:sz w:val="24"/>
          <w:szCs w:val="24"/>
        </w:rPr>
        <w:t xml:space="preserve"> (</w:t>
      </w:r>
      <w:r w:rsidR="002D438B" w:rsidRPr="006D3C51">
        <w:rPr>
          <w:rFonts w:ascii="Times New Roman" w:hAnsi="Times New Roman" w:cs="Times New Roman"/>
          <w:sz w:val="24"/>
          <w:szCs w:val="24"/>
        </w:rPr>
        <w:t xml:space="preserve">§ </w:t>
      </w:r>
      <w:r w:rsidR="002F62C3" w:rsidRPr="006D3C51">
        <w:rPr>
          <w:rFonts w:ascii="Times New Roman" w:hAnsi="Times New Roman" w:cs="Times New Roman"/>
          <w:sz w:val="24"/>
          <w:szCs w:val="24"/>
        </w:rPr>
        <w:t>50)</w:t>
      </w:r>
      <w:r w:rsidR="001C623A">
        <w:rPr>
          <w:rStyle w:val="Refdenotaalpie"/>
          <w:rFonts w:ascii="Times New Roman" w:hAnsi="Times New Roman" w:cs="Times New Roman"/>
          <w:sz w:val="24"/>
          <w:szCs w:val="24"/>
        </w:rPr>
        <w:footnoteReference w:id="8"/>
      </w:r>
      <w:r w:rsidR="007F4112" w:rsidRPr="006D3C51">
        <w:rPr>
          <w:rFonts w:ascii="Times New Roman" w:hAnsi="Times New Roman" w:cs="Times New Roman"/>
          <w:sz w:val="24"/>
          <w:szCs w:val="24"/>
        </w:rPr>
        <w:t xml:space="preserve">. </w:t>
      </w:r>
    </w:p>
    <w:p w14:paraId="0FFA6617" w14:textId="170FA591" w:rsidR="00823BCB" w:rsidRPr="006D3C51" w:rsidRDefault="009D2F23"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Después de solo tres años, el 9 de noviembre de 1989 la Comisión resolvió el asunto </w:t>
      </w:r>
      <w:bookmarkStart w:id="5" w:name="_Hlk74416929"/>
      <w:proofErr w:type="spellStart"/>
      <w:r w:rsidR="00823BCB" w:rsidRPr="00781D53">
        <w:rPr>
          <w:rFonts w:ascii="Times New Roman" w:hAnsi="Times New Roman" w:cs="Times New Roman"/>
          <w:i/>
          <w:iCs/>
          <w:sz w:val="24"/>
          <w:szCs w:val="24"/>
        </w:rPr>
        <w:t>Eriksson</w:t>
      </w:r>
      <w:proofErr w:type="spellEnd"/>
      <w:r w:rsidR="00823BCB" w:rsidRPr="00781D53">
        <w:rPr>
          <w:rFonts w:ascii="Times New Roman" w:hAnsi="Times New Roman" w:cs="Times New Roman"/>
          <w:i/>
          <w:iCs/>
          <w:sz w:val="24"/>
          <w:szCs w:val="24"/>
        </w:rPr>
        <w:t xml:space="preserve"> </w:t>
      </w:r>
      <w:bookmarkEnd w:id="5"/>
      <w:r w:rsidR="00823BCB" w:rsidRPr="00781D53">
        <w:rPr>
          <w:rFonts w:ascii="Times New Roman" w:hAnsi="Times New Roman" w:cs="Times New Roman"/>
          <w:i/>
          <w:iCs/>
          <w:sz w:val="24"/>
          <w:szCs w:val="24"/>
        </w:rPr>
        <w:t>&amp; Goldschmidt c. Suecia</w:t>
      </w:r>
      <w:r w:rsidRPr="00C40446">
        <w:rPr>
          <w:rStyle w:val="Refdenotaalpie"/>
          <w:rFonts w:ascii="Times New Roman" w:hAnsi="Times New Roman" w:cs="Times New Roman"/>
          <w:sz w:val="24"/>
          <w:szCs w:val="24"/>
        </w:rPr>
        <w:footnoteReference w:id="9"/>
      </w:r>
      <w:r w:rsidR="00C40446" w:rsidRPr="00C40446">
        <w:rPr>
          <w:rFonts w:ascii="Times New Roman" w:hAnsi="Times New Roman" w:cs="Times New Roman"/>
          <w:sz w:val="24"/>
          <w:szCs w:val="24"/>
        </w:rPr>
        <w:t>.</w:t>
      </w:r>
      <w:r w:rsidRPr="00C40446">
        <w:rPr>
          <w:rFonts w:ascii="Times New Roman" w:hAnsi="Times New Roman" w:cs="Times New Roman"/>
          <w:sz w:val="24"/>
          <w:szCs w:val="24"/>
        </w:rPr>
        <w:t xml:space="preserve"> </w:t>
      </w:r>
      <w:r w:rsidR="00823BCB" w:rsidRPr="006D3C51">
        <w:rPr>
          <w:rFonts w:ascii="Times New Roman" w:hAnsi="Times New Roman" w:cs="Times New Roman"/>
          <w:sz w:val="24"/>
          <w:szCs w:val="24"/>
        </w:rPr>
        <w:t xml:space="preserve">Se trata de un caso algo “curioso”, pues la Sra. </w:t>
      </w:r>
      <w:proofErr w:type="spellStart"/>
      <w:r w:rsidR="00823BCB" w:rsidRPr="006D3C51">
        <w:rPr>
          <w:rFonts w:ascii="Times New Roman" w:hAnsi="Times New Roman" w:cs="Times New Roman"/>
          <w:sz w:val="24"/>
          <w:szCs w:val="24"/>
        </w:rPr>
        <w:t>Eriksson</w:t>
      </w:r>
      <w:proofErr w:type="spellEnd"/>
      <w:r w:rsidR="00174291" w:rsidRPr="006D3C51">
        <w:rPr>
          <w:rFonts w:ascii="Times New Roman" w:hAnsi="Times New Roman" w:cs="Times New Roman"/>
          <w:sz w:val="24"/>
          <w:szCs w:val="24"/>
        </w:rPr>
        <w:t>, transexual nacida con sexo biológico masculino pero que voluntariamente, después de un camino documentado por médicos y terapeutas, cambió su sexo “legal” al femenino (aunque nunca se h</w:t>
      </w:r>
      <w:r w:rsidRPr="006D3C51">
        <w:rPr>
          <w:rFonts w:ascii="Times New Roman" w:hAnsi="Times New Roman" w:cs="Times New Roman"/>
          <w:sz w:val="24"/>
          <w:szCs w:val="24"/>
        </w:rPr>
        <w:t>ubiera</w:t>
      </w:r>
      <w:r w:rsidR="00174291" w:rsidRPr="006D3C51">
        <w:rPr>
          <w:rFonts w:ascii="Times New Roman" w:hAnsi="Times New Roman" w:cs="Times New Roman"/>
          <w:sz w:val="24"/>
          <w:szCs w:val="24"/>
        </w:rPr>
        <w:t xml:space="preserve"> sometido a intervenciones quirúrgicas de reasignación del sexo)</w:t>
      </w:r>
      <w:r w:rsidR="00713845">
        <w:rPr>
          <w:rFonts w:ascii="Times New Roman" w:hAnsi="Times New Roman" w:cs="Times New Roman"/>
          <w:sz w:val="24"/>
          <w:szCs w:val="24"/>
        </w:rPr>
        <w:t>,</w:t>
      </w:r>
      <w:r w:rsidRPr="006D3C51">
        <w:rPr>
          <w:rFonts w:ascii="Times New Roman" w:hAnsi="Times New Roman" w:cs="Times New Roman"/>
          <w:sz w:val="24"/>
          <w:szCs w:val="24"/>
        </w:rPr>
        <w:t xml:space="preserve"> </w:t>
      </w:r>
      <w:r w:rsidR="00174291" w:rsidRPr="006D3C51">
        <w:rPr>
          <w:rFonts w:ascii="Times New Roman" w:hAnsi="Times New Roman" w:cs="Times New Roman"/>
          <w:sz w:val="24"/>
          <w:szCs w:val="24"/>
        </w:rPr>
        <w:t xml:space="preserve">quiso casarse con una mujer, la Sra. Goldschmidt. La autorización fue denegada, al no estar permitido </w:t>
      </w:r>
      <w:r w:rsidR="00713845" w:rsidRPr="006D3C51">
        <w:rPr>
          <w:rFonts w:ascii="Times New Roman" w:hAnsi="Times New Roman" w:cs="Times New Roman"/>
          <w:sz w:val="24"/>
          <w:szCs w:val="24"/>
        </w:rPr>
        <w:t>en Suecia</w:t>
      </w:r>
      <w:r w:rsidR="00713845">
        <w:rPr>
          <w:rFonts w:ascii="Times New Roman" w:hAnsi="Times New Roman" w:cs="Times New Roman"/>
          <w:sz w:val="24"/>
          <w:szCs w:val="24"/>
        </w:rPr>
        <w:t>,</w:t>
      </w:r>
      <w:r w:rsidR="00713845" w:rsidRPr="006D3C51">
        <w:rPr>
          <w:rFonts w:ascii="Times New Roman" w:hAnsi="Times New Roman" w:cs="Times New Roman"/>
          <w:sz w:val="24"/>
          <w:szCs w:val="24"/>
        </w:rPr>
        <w:t xml:space="preserve"> </w:t>
      </w:r>
      <w:r w:rsidR="00174291" w:rsidRPr="006D3C51">
        <w:rPr>
          <w:rFonts w:ascii="Times New Roman" w:hAnsi="Times New Roman" w:cs="Times New Roman"/>
          <w:sz w:val="24"/>
          <w:szCs w:val="24"/>
        </w:rPr>
        <w:t>en aquel entonces</w:t>
      </w:r>
      <w:r w:rsidR="00713845">
        <w:rPr>
          <w:rFonts w:ascii="Times New Roman" w:hAnsi="Times New Roman" w:cs="Times New Roman"/>
          <w:sz w:val="24"/>
          <w:szCs w:val="24"/>
        </w:rPr>
        <w:t>,</w:t>
      </w:r>
      <w:r w:rsidR="00174291" w:rsidRPr="006D3C51">
        <w:rPr>
          <w:rFonts w:ascii="Times New Roman" w:hAnsi="Times New Roman" w:cs="Times New Roman"/>
          <w:sz w:val="24"/>
          <w:szCs w:val="24"/>
        </w:rPr>
        <w:t xml:space="preserve"> el matrimonio entre personas del mismo sexo. Las demandantes, no obstante, consideraron violado su derecho </w:t>
      </w:r>
      <w:r w:rsidR="00174291" w:rsidRPr="006D3C51">
        <w:rPr>
          <w:rFonts w:ascii="Times New Roman" w:hAnsi="Times New Roman" w:cs="Times New Roman"/>
          <w:i/>
          <w:sz w:val="24"/>
          <w:szCs w:val="24"/>
        </w:rPr>
        <w:t>ex</w:t>
      </w:r>
      <w:r w:rsidR="00174291" w:rsidRPr="006D3C51">
        <w:rPr>
          <w:rFonts w:ascii="Times New Roman" w:hAnsi="Times New Roman" w:cs="Times New Roman"/>
          <w:sz w:val="24"/>
          <w:szCs w:val="24"/>
        </w:rPr>
        <w:t xml:space="preserve"> art. 12 CEDH, al tener</w:t>
      </w:r>
      <w:r w:rsidRPr="006D3C51">
        <w:rPr>
          <w:rFonts w:ascii="Times New Roman" w:hAnsi="Times New Roman" w:cs="Times New Roman"/>
          <w:sz w:val="24"/>
          <w:szCs w:val="24"/>
        </w:rPr>
        <w:t xml:space="preserve"> las dos un</w:t>
      </w:r>
      <w:r w:rsidR="00174291" w:rsidRPr="006D3C51">
        <w:rPr>
          <w:rFonts w:ascii="Times New Roman" w:hAnsi="Times New Roman" w:cs="Times New Roman"/>
          <w:sz w:val="24"/>
          <w:szCs w:val="24"/>
        </w:rPr>
        <w:t xml:space="preserve"> sexo biológico distinto. </w:t>
      </w:r>
    </w:p>
    <w:p w14:paraId="18C20495" w14:textId="6BA64AD6" w:rsidR="00640926" w:rsidRPr="006D3C51" w:rsidRDefault="00640926"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En efecto, como ya se mencionó en el análisis de la STEDH </w:t>
      </w:r>
      <w:proofErr w:type="spellStart"/>
      <w:r w:rsidRPr="006D3C51">
        <w:rPr>
          <w:rFonts w:ascii="Times New Roman" w:hAnsi="Times New Roman" w:cs="Times New Roman"/>
          <w:i/>
          <w:sz w:val="24"/>
          <w:szCs w:val="24"/>
        </w:rPr>
        <w:t>Rees</w:t>
      </w:r>
      <w:proofErr w:type="spellEnd"/>
      <w:r w:rsidRPr="006D3C51">
        <w:rPr>
          <w:rFonts w:ascii="Times New Roman" w:hAnsi="Times New Roman" w:cs="Times New Roman"/>
          <w:sz w:val="24"/>
          <w:szCs w:val="24"/>
        </w:rPr>
        <w:t>, el TEDH afirmó que el matrimonio protegido por el Convenio es el que se celebre entre dos personas de sexo “biológico” distinto</w:t>
      </w:r>
      <w:r w:rsidR="009B7D3B">
        <w:rPr>
          <w:rStyle w:val="Refdenotaalpie"/>
          <w:rFonts w:ascii="Times New Roman" w:hAnsi="Times New Roman" w:cs="Times New Roman"/>
          <w:sz w:val="24"/>
          <w:szCs w:val="24"/>
        </w:rPr>
        <w:footnoteReference w:id="10"/>
      </w:r>
      <w:r w:rsidRPr="006D3C51">
        <w:rPr>
          <w:rFonts w:ascii="Times New Roman" w:hAnsi="Times New Roman" w:cs="Times New Roman"/>
          <w:sz w:val="24"/>
          <w:szCs w:val="24"/>
        </w:rPr>
        <w:t xml:space="preserve">. </w:t>
      </w:r>
    </w:p>
    <w:p w14:paraId="7DD1E531" w14:textId="3684D664" w:rsidR="00675072" w:rsidRPr="006D3C51" w:rsidRDefault="00675072"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La Comisión</w:t>
      </w:r>
      <w:r w:rsidR="00852B41" w:rsidRPr="006D3C51">
        <w:rPr>
          <w:rFonts w:ascii="Times New Roman" w:hAnsi="Times New Roman" w:cs="Times New Roman"/>
          <w:sz w:val="24"/>
          <w:szCs w:val="24"/>
        </w:rPr>
        <w:t xml:space="preserve"> EDH</w:t>
      </w:r>
      <w:r w:rsidRPr="006D3C51">
        <w:rPr>
          <w:rFonts w:ascii="Times New Roman" w:hAnsi="Times New Roman" w:cs="Times New Roman"/>
          <w:sz w:val="24"/>
          <w:szCs w:val="24"/>
        </w:rPr>
        <w:t xml:space="preserve">, al evaluar el caso, declaró que las dos recurrentes </w:t>
      </w:r>
      <w:r w:rsidR="00593C63" w:rsidRPr="006D3C51">
        <w:rPr>
          <w:rFonts w:ascii="Times New Roman" w:hAnsi="Times New Roman" w:cs="Times New Roman"/>
          <w:sz w:val="24"/>
          <w:szCs w:val="24"/>
        </w:rPr>
        <w:t>tenían</w:t>
      </w:r>
      <w:r w:rsidRPr="006D3C51">
        <w:rPr>
          <w:rFonts w:ascii="Times New Roman" w:hAnsi="Times New Roman" w:cs="Times New Roman"/>
          <w:sz w:val="24"/>
          <w:szCs w:val="24"/>
        </w:rPr>
        <w:t xml:space="preserve"> legalmente el mismo sexo, por elección libre de la Sra. </w:t>
      </w:r>
      <w:proofErr w:type="spellStart"/>
      <w:r w:rsidRPr="006D3C51">
        <w:rPr>
          <w:rFonts w:ascii="Times New Roman" w:hAnsi="Times New Roman" w:cs="Times New Roman"/>
          <w:sz w:val="24"/>
          <w:szCs w:val="24"/>
        </w:rPr>
        <w:t>Eriksson</w:t>
      </w:r>
      <w:proofErr w:type="spellEnd"/>
      <w:r w:rsidRPr="006D3C51">
        <w:rPr>
          <w:rFonts w:ascii="Times New Roman" w:hAnsi="Times New Roman" w:cs="Times New Roman"/>
          <w:sz w:val="24"/>
          <w:szCs w:val="24"/>
        </w:rPr>
        <w:t>, y que el art. 12 CEDH solo ampara el derecho a contraer matrimonio con alguien del sexo opuesto</w:t>
      </w:r>
      <w:r w:rsidR="003F54B3" w:rsidRPr="006D3C51">
        <w:rPr>
          <w:rFonts w:ascii="Times New Roman" w:hAnsi="Times New Roman" w:cs="Times New Roman"/>
          <w:sz w:val="24"/>
          <w:szCs w:val="24"/>
        </w:rPr>
        <w:t>, incluso cuando</w:t>
      </w:r>
      <w:r w:rsidRPr="006D3C51">
        <w:rPr>
          <w:rFonts w:ascii="Times New Roman" w:hAnsi="Times New Roman" w:cs="Times New Roman"/>
          <w:sz w:val="24"/>
          <w:szCs w:val="24"/>
        </w:rPr>
        <w:t>, como en el presente caso, la pareja no es biológicamente del</w:t>
      </w:r>
      <w:r w:rsidR="003F54B3" w:rsidRPr="006D3C51">
        <w:rPr>
          <w:rFonts w:ascii="Times New Roman" w:hAnsi="Times New Roman" w:cs="Times New Roman"/>
          <w:sz w:val="24"/>
          <w:szCs w:val="24"/>
        </w:rPr>
        <w:t xml:space="preserve"> </w:t>
      </w:r>
      <w:r w:rsidRPr="006D3C51">
        <w:rPr>
          <w:rFonts w:ascii="Times New Roman" w:hAnsi="Times New Roman" w:cs="Times New Roman"/>
          <w:sz w:val="24"/>
          <w:szCs w:val="24"/>
        </w:rPr>
        <w:t>mismo sexo</w:t>
      </w:r>
      <w:r w:rsidR="003F54B3" w:rsidRPr="006D3C51">
        <w:rPr>
          <w:rFonts w:ascii="Times New Roman" w:hAnsi="Times New Roman" w:cs="Times New Roman"/>
          <w:sz w:val="24"/>
          <w:szCs w:val="24"/>
        </w:rPr>
        <w:t xml:space="preserve">, </w:t>
      </w:r>
      <w:r w:rsidRPr="006D3C51">
        <w:rPr>
          <w:rFonts w:ascii="Times New Roman" w:hAnsi="Times New Roman" w:cs="Times New Roman"/>
          <w:sz w:val="24"/>
          <w:szCs w:val="24"/>
        </w:rPr>
        <w:t>pero una de l</w:t>
      </w:r>
      <w:r w:rsidR="003F54B3" w:rsidRPr="006D3C51">
        <w:rPr>
          <w:rFonts w:ascii="Times New Roman" w:hAnsi="Times New Roman" w:cs="Times New Roman"/>
          <w:sz w:val="24"/>
          <w:szCs w:val="24"/>
        </w:rPr>
        <w:t>os</w:t>
      </w:r>
      <w:r w:rsidRPr="006D3C51">
        <w:rPr>
          <w:rFonts w:ascii="Times New Roman" w:hAnsi="Times New Roman" w:cs="Times New Roman"/>
          <w:sz w:val="24"/>
          <w:szCs w:val="24"/>
        </w:rPr>
        <w:t xml:space="preserve"> </w:t>
      </w:r>
      <w:r w:rsidR="003F54B3" w:rsidRPr="006D3C51">
        <w:rPr>
          <w:rFonts w:ascii="Times New Roman" w:hAnsi="Times New Roman" w:cs="Times New Roman"/>
          <w:sz w:val="24"/>
          <w:szCs w:val="24"/>
        </w:rPr>
        <w:t xml:space="preserve">dos miembros de ella </w:t>
      </w:r>
      <w:r w:rsidRPr="006D3C51">
        <w:rPr>
          <w:rFonts w:ascii="Times New Roman" w:hAnsi="Times New Roman" w:cs="Times New Roman"/>
          <w:sz w:val="24"/>
          <w:szCs w:val="24"/>
        </w:rPr>
        <w:t>ha obtenido el mismo sexo</w:t>
      </w:r>
      <w:r w:rsidR="003F54B3" w:rsidRPr="006D3C51">
        <w:rPr>
          <w:rFonts w:ascii="Times New Roman" w:hAnsi="Times New Roman" w:cs="Times New Roman"/>
          <w:sz w:val="24"/>
          <w:szCs w:val="24"/>
        </w:rPr>
        <w:t xml:space="preserve"> del otro a</w:t>
      </w:r>
      <w:r w:rsidRPr="006D3C51">
        <w:rPr>
          <w:rFonts w:ascii="Times New Roman" w:hAnsi="Times New Roman" w:cs="Times New Roman"/>
          <w:sz w:val="24"/>
          <w:szCs w:val="24"/>
        </w:rPr>
        <w:t xml:space="preserve"> través de un acto voluntario reconocido bajo</w:t>
      </w:r>
      <w:r w:rsidR="003F54B3" w:rsidRPr="006D3C51">
        <w:rPr>
          <w:rFonts w:ascii="Times New Roman" w:hAnsi="Times New Roman" w:cs="Times New Roman"/>
          <w:sz w:val="24"/>
          <w:szCs w:val="24"/>
        </w:rPr>
        <w:t xml:space="preserve"> </w:t>
      </w:r>
      <w:r w:rsidRPr="006D3C51">
        <w:rPr>
          <w:rFonts w:ascii="Times New Roman" w:hAnsi="Times New Roman" w:cs="Times New Roman"/>
          <w:sz w:val="24"/>
          <w:szCs w:val="24"/>
        </w:rPr>
        <w:t xml:space="preserve">ley </w:t>
      </w:r>
      <w:r w:rsidR="003F54B3" w:rsidRPr="006D3C51">
        <w:rPr>
          <w:rFonts w:ascii="Times New Roman" w:hAnsi="Times New Roman" w:cs="Times New Roman"/>
          <w:sz w:val="24"/>
          <w:szCs w:val="24"/>
        </w:rPr>
        <w:t>nacional</w:t>
      </w:r>
      <w:r w:rsidR="00D563D5">
        <w:rPr>
          <w:rStyle w:val="Refdenotaalpie"/>
          <w:rFonts w:ascii="Times New Roman" w:hAnsi="Times New Roman" w:cs="Times New Roman"/>
          <w:sz w:val="24"/>
          <w:szCs w:val="24"/>
        </w:rPr>
        <w:footnoteReference w:id="11"/>
      </w:r>
      <w:r w:rsidRPr="006D3C51">
        <w:rPr>
          <w:rFonts w:ascii="Times New Roman" w:hAnsi="Times New Roman" w:cs="Times New Roman"/>
          <w:sz w:val="24"/>
          <w:szCs w:val="24"/>
        </w:rPr>
        <w:t>.</w:t>
      </w:r>
    </w:p>
    <w:p w14:paraId="1089DEA3" w14:textId="22ACB897" w:rsidR="00DB6653" w:rsidRPr="006D3C51" w:rsidRDefault="00DB6653"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lastRenderedPageBreak/>
        <w:t xml:space="preserve">En 1990 </w:t>
      </w:r>
      <w:r w:rsidR="00EE1104" w:rsidRPr="006D3C51">
        <w:rPr>
          <w:rFonts w:ascii="Times New Roman" w:hAnsi="Times New Roman" w:cs="Times New Roman"/>
          <w:sz w:val="24"/>
          <w:szCs w:val="24"/>
        </w:rPr>
        <w:t xml:space="preserve">la Comisión y el TEDH se enfrentaron a un caso sustancialmente idéntico al resuelto en la sentencia </w:t>
      </w:r>
      <w:proofErr w:type="spellStart"/>
      <w:r w:rsidR="00EE1104" w:rsidRPr="006D3C51">
        <w:rPr>
          <w:rFonts w:ascii="Times New Roman" w:hAnsi="Times New Roman" w:cs="Times New Roman"/>
          <w:i/>
          <w:sz w:val="24"/>
          <w:szCs w:val="24"/>
        </w:rPr>
        <w:t>Rees</w:t>
      </w:r>
      <w:proofErr w:type="spellEnd"/>
      <w:r w:rsidR="00EE1104" w:rsidRPr="006D3C51">
        <w:rPr>
          <w:rFonts w:ascii="Times New Roman" w:hAnsi="Times New Roman" w:cs="Times New Roman"/>
          <w:sz w:val="24"/>
          <w:szCs w:val="24"/>
        </w:rPr>
        <w:t xml:space="preserve">, en el que la demandante pidió que el Tribunal Europeo se apartara de su anterior jurisprudencia y que volviera a considerar su interpretación respecto de la aplicación de los arts. 8 y 12 del Convenio a las personas transexuales. </w:t>
      </w:r>
    </w:p>
    <w:p w14:paraId="2F450322" w14:textId="5174BBD5" w:rsidR="00E55BEE" w:rsidRPr="006D3C51" w:rsidRDefault="00EE1104"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En la decisión de 27 de septiembre de 1990, asunto </w:t>
      </w:r>
      <w:proofErr w:type="spellStart"/>
      <w:r w:rsidR="001F74EC" w:rsidRPr="00781D53">
        <w:rPr>
          <w:rFonts w:ascii="Times New Roman" w:hAnsi="Times New Roman" w:cs="Times New Roman"/>
          <w:i/>
          <w:iCs/>
          <w:sz w:val="24"/>
          <w:szCs w:val="24"/>
        </w:rPr>
        <w:t>Cossey</w:t>
      </w:r>
      <w:proofErr w:type="spellEnd"/>
      <w:r w:rsidR="001F74EC" w:rsidRPr="00781D53">
        <w:rPr>
          <w:rFonts w:ascii="Times New Roman" w:hAnsi="Times New Roman" w:cs="Times New Roman"/>
          <w:i/>
          <w:iCs/>
          <w:sz w:val="24"/>
          <w:szCs w:val="24"/>
        </w:rPr>
        <w:t> c. Reino Unido</w:t>
      </w:r>
      <w:r w:rsidRPr="006D3C51">
        <w:rPr>
          <w:rStyle w:val="Refdenotaalpie"/>
          <w:rFonts w:ascii="Times New Roman" w:hAnsi="Times New Roman" w:cs="Times New Roman"/>
          <w:iCs/>
          <w:sz w:val="24"/>
          <w:szCs w:val="24"/>
        </w:rPr>
        <w:footnoteReference w:id="12"/>
      </w:r>
      <w:r w:rsidR="00C40446">
        <w:rPr>
          <w:rFonts w:ascii="Times New Roman" w:hAnsi="Times New Roman" w:cs="Times New Roman"/>
          <w:iCs/>
          <w:sz w:val="24"/>
          <w:szCs w:val="24"/>
        </w:rPr>
        <w:t>,</w:t>
      </w:r>
      <w:r w:rsidRPr="006D3C51">
        <w:rPr>
          <w:rFonts w:ascii="Times New Roman" w:hAnsi="Times New Roman" w:cs="Times New Roman"/>
          <w:iCs/>
          <w:sz w:val="24"/>
          <w:szCs w:val="24"/>
        </w:rPr>
        <w:t xml:space="preserve"> sin embargo, pese a que el </w:t>
      </w:r>
      <w:r w:rsidR="00E939A9" w:rsidRPr="006D3C51">
        <w:rPr>
          <w:rFonts w:ascii="Times New Roman" w:hAnsi="Times New Roman" w:cs="Times New Roman"/>
          <w:sz w:val="24"/>
          <w:szCs w:val="24"/>
        </w:rPr>
        <w:t>TEDH record</w:t>
      </w:r>
      <w:r w:rsidRPr="006D3C51">
        <w:rPr>
          <w:rFonts w:ascii="Times New Roman" w:hAnsi="Times New Roman" w:cs="Times New Roman"/>
          <w:sz w:val="24"/>
          <w:szCs w:val="24"/>
        </w:rPr>
        <w:t>ara (</w:t>
      </w:r>
      <w:r w:rsidR="00AA17B6" w:rsidRPr="006D3C51">
        <w:rPr>
          <w:rFonts w:ascii="Times New Roman" w:hAnsi="Times New Roman" w:cs="Times New Roman"/>
          <w:sz w:val="24"/>
          <w:szCs w:val="24"/>
        </w:rPr>
        <w:t xml:space="preserve">§ </w:t>
      </w:r>
      <w:r w:rsidRPr="006D3C51">
        <w:rPr>
          <w:rFonts w:ascii="Times New Roman" w:hAnsi="Times New Roman" w:cs="Times New Roman"/>
          <w:sz w:val="24"/>
          <w:szCs w:val="24"/>
        </w:rPr>
        <w:t>35)</w:t>
      </w:r>
      <w:r w:rsidR="00E939A9" w:rsidRPr="006D3C51">
        <w:rPr>
          <w:rFonts w:ascii="Times New Roman" w:hAnsi="Times New Roman" w:cs="Times New Roman"/>
          <w:sz w:val="24"/>
          <w:szCs w:val="24"/>
        </w:rPr>
        <w:t xml:space="preserve"> que, efectivamente, no está limitado por sus anteriores decisiones (como reconoce el artículo 51.1 de su Reglamento)</w:t>
      </w:r>
      <w:r w:rsidRPr="006D3C51">
        <w:rPr>
          <w:rFonts w:ascii="Times New Roman" w:hAnsi="Times New Roman" w:cs="Times New Roman"/>
          <w:sz w:val="24"/>
          <w:szCs w:val="24"/>
        </w:rPr>
        <w:t xml:space="preserve"> dado que</w:t>
      </w:r>
      <w:r w:rsidR="002C5595" w:rsidRPr="006D3C51">
        <w:rPr>
          <w:rFonts w:ascii="Times New Roman" w:hAnsi="Times New Roman" w:cs="Times New Roman"/>
          <w:sz w:val="24"/>
          <w:szCs w:val="24"/>
        </w:rPr>
        <w:t xml:space="preserve"> el Convenio</w:t>
      </w:r>
      <w:r w:rsidRPr="006D3C51">
        <w:rPr>
          <w:rFonts w:ascii="Times New Roman" w:hAnsi="Times New Roman" w:cs="Times New Roman"/>
          <w:sz w:val="24"/>
          <w:szCs w:val="24"/>
        </w:rPr>
        <w:t>, como es notorio,</w:t>
      </w:r>
      <w:r w:rsidR="002C5595" w:rsidRPr="006D3C51">
        <w:rPr>
          <w:rFonts w:ascii="Times New Roman" w:hAnsi="Times New Roman" w:cs="Times New Roman"/>
          <w:sz w:val="24"/>
          <w:szCs w:val="24"/>
        </w:rPr>
        <w:t xml:space="preserve"> constituy</w:t>
      </w:r>
      <w:r w:rsidRPr="006D3C51">
        <w:rPr>
          <w:rFonts w:ascii="Times New Roman" w:hAnsi="Times New Roman" w:cs="Times New Roman"/>
          <w:sz w:val="24"/>
          <w:szCs w:val="24"/>
        </w:rPr>
        <w:t>e</w:t>
      </w:r>
      <w:r w:rsidR="002C5595" w:rsidRPr="006D3C51">
        <w:rPr>
          <w:rFonts w:ascii="Times New Roman" w:hAnsi="Times New Roman" w:cs="Times New Roman"/>
          <w:sz w:val="24"/>
          <w:szCs w:val="24"/>
        </w:rPr>
        <w:t xml:space="preserve"> un instrumento “viviente”, que tiene que interpretarse de manera evolutiva para adaptarlo a las nuevas necesidades de la sociedad y a las </w:t>
      </w:r>
      <w:r w:rsidR="00E55BEE" w:rsidRPr="006D3C51">
        <w:rPr>
          <w:rFonts w:ascii="Times New Roman" w:hAnsi="Times New Roman" w:cs="Times New Roman"/>
          <w:sz w:val="24"/>
          <w:szCs w:val="24"/>
        </w:rPr>
        <w:t>nuevas exigencias</w:t>
      </w:r>
      <w:r w:rsidR="002C5595" w:rsidRPr="006D3C51">
        <w:rPr>
          <w:rFonts w:ascii="Times New Roman" w:hAnsi="Times New Roman" w:cs="Times New Roman"/>
          <w:sz w:val="24"/>
          <w:szCs w:val="24"/>
        </w:rPr>
        <w:t xml:space="preserve"> de protección de los derechos</w:t>
      </w:r>
      <w:r w:rsidRPr="006D3C51">
        <w:rPr>
          <w:rFonts w:ascii="Times New Roman" w:hAnsi="Times New Roman" w:cs="Times New Roman"/>
          <w:sz w:val="24"/>
          <w:szCs w:val="24"/>
        </w:rPr>
        <w:t xml:space="preserve">, </w:t>
      </w:r>
      <w:r w:rsidR="00E55BEE" w:rsidRPr="006D3C51">
        <w:rPr>
          <w:rFonts w:ascii="Times New Roman" w:hAnsi="Times New Roman" w:cs="Times New Roman"/>
          <w:sz w:val="24"/>
          <w:szCs w:val="24"/>
        </w:rPr>
        <w:t xml:space="preserve">resolvió el caso aplicando la misma doctrina sentada en la decisión </w:t>
      </w:r>
      <w:proofErr w:type="spellStart"/>
      <w:r w:rsidR="00E55BEE" w:rsidRPr="006D3C51">
        <w:rPr>
          <w:rFonts w:ascii="Times New Roman" w:hAnsi="Times New Roman" w:cs="Times New Roman"/>
          <w:i/>
          <w:sz w:val="24"/>
          <w:szCs w:val="24"/>
        </w:rPr>
        <w:t>Rees</w:t>
      </w:r>
      <w:proofErr w:type="spellEnd"/>
      <w:r w:rsidR="00E55BEE" w:rsidRPr="006D3C51">
        <w:rPr>
          <w:rFonts w:ascii="Times New Roman" w:hAnsi="Times New Roman" w:cs="Times New Roman"/>
          <w:sz w:val="24"/>
          <w:szCs w:val="24"/>
        </w:rPr>
        <w:t xml:space="preserve"> de 1986. </w:t>
      </w:r>
    </w:p>
    <w:p w14:paraId="5218F161" w14:textId="51BFB159" w:rsidR="001605C3" w:rsidRPr="006D3C51" w:rsidRDefault="00032C5B"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Como era de esperar, los jueces </w:t>
      </w:r>
      <w:proofErr w:type="spellStart"/>
      <w:r w:rsidRPr="006D3C51">
        <w:rPr>
          <w:rFonts w:ascii="Times New Roman" w:hAnsi="Times New Roman" w:cs="Times New Roman"/>
          <w:sz w:val="24"/>
          <w:szCs w:val="24"/>
        </w:rPr>
        <w:t>Bindschedler</w:t>
      </w:r>
      <w:proofErr w:type="spellEnd"/>
      <w:r w:rsidRPr="006D3C51">
        <w:rPr>
          <w:rFonts w:ascii="Times New Roman" w:hAnsi="Times New Roman" w:cs="Times New Roman"/>
          <w:sz w:val="24"/>
          <w:szCs w:val="24"/>
        </w:rPr>
        <w:t xml:space="preserve">-Robert y Russo también reiteraron sus precedentes consideraciones, ya expresadas en el voto particular al caso </w:t>
      </w:r>
      <w:proofErr w:type="spellStart"/>
      <w:r w:rsidRPr="006D3C51">
        <w:rPr>
          <w:rFonts w:ascii="Times New Roman" w:hAnsi="Times New Roman" w:cs="Times New Roman"/>
          <w:i/>
          <w:sz w:val="24"/>
          <w:szCs w:val="24"/>
        </w:rPr>
        <w:t>Rees</w:t>
      </w:r>
      <w:proofErr w:type="spellEnd"/>
      <w:r w:rsidRPr="006D3C51">
        <w:rPr>
          <w:rFonts w:ascii="Times New Roman" w:hAnsi="Times New Roman" w:cs="Times New Roman"/>
          <w:sz w:val="24"/>
          <w:szCs w:val="24"/>
        </w:rPr>
        <w:t>: la Corte de Estrasburgo, con esta decisión, siguió sin tomar en cuenta adecuadamente las modificaciones producidas en la identidad sexual de las personas transexuales. Por tanto, el Estado demandado no respet</w:t>
      </w:r>
      <w:r w:rsidR="00923320" w:rsidRPr="006D3C51">
        <w:rPr>
          <w:rFonts w:ascii="Times New Roman" w:hAnsi="Times New Roman" w:cs="Times New Roman"/>
          <w:sz w:val="24"/>
          <w:szCs w:val="24"/>
        </w:rPr>
        <w:t>ó</w:t>
      </w:r>
      <w:r w:rsidRPr="006D3C51">
        <w:rPr>
          <w:rFonts w:ascii="Times New Roman" w:hAnsi="Times New Roman" w:cs="Times New Roman"/>
          <w:sz w:val="24"/>
          <w:szCs w:val="24"/>
        </w:rPr>
        <w:t xml:space="preserve"> el derecho a la vida privada de la demandante, pudiéndose encontrar un “</w:t>
      </w:r>
      <w:r w:rsidRPr="006D3C51">
        <w:rPr>
          <w:rFonts w:ascii="Times New Roman" w:hAnsi="Times New Roman" w:cs="Times New Roman"/>
          <w:i/>
          <w:sz w:val="24"/>
          <w:szCs w:val="24"/>
        </w:rPr>
        <w:t>equilibrio justo entre el interés público y el individual</w:t>
      </w:r>
      <w:r w:rsidRPr="006D3C51">
        <w:rPr>
          <w:rFonts w:ascii="Times New Roman" w:hAnsi="Times New Roman" w:cs="Times New Roman"/>
          <w:sz w:val="24"/>
          <w:szCs w:val="24"/>
        </w:rPr>
        <w:t xml:space="preserve">”. </w:t>
      </w:r>
    </w:p>
    <w:p w14:paraId="62708D1F" w14:textId="4A8704DF" w:rsidR="00577F4B" w:rsidRPr="006D3C51" w:rsidRDefault="00577F4B"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También los jueces </w:t>
      </w:r>
      <w:proofErr w:type="spellStart"/>
      <w:r w:rsidRPr="006D3C51">
        <w:rPr>
          <w:rFonts w:ascii="Times New Roman" w:hAnsi="Times New Roman" w:cs="Times New Roman"/>
          <w:sz w:val="24"/>
          <w:szCs w:val="24"/>
        </w:rPr>
        <w:t>Macdonald</w:t>
      </w:r>
      <w:proofErr w:type="spellEnd"/>
      <w:r w:rsidRPr="006D3C51">
        <w:rPr>
          <w:rFonts w:ascii="Times New Roman" w:hAnsi="Times New Roman" w:cs="Times New Roman"/>
          <w:sz w:val="24"/>
          <w:szCs w:val="24"/>
        </w:rPr>
        <w:t xml:space="preserve"> y </w:t>
      </w:r>
      <w:proofErr w:type="spellStart"/>
      <w:r w:rsidRPr="006D3C51">
        <w:rPr>
          <w:rFonts w:ascii="Times New Roman" w:hAnsi="Times New Roman" w:cs="Times New Roman"/>
          <w:sz w:val="24"/>
          <w:szCs w:val="24"/>
        </w:rPr>
        <w:t>Spielmann</w:t>
      </w:r>
      <w:proofErr w:type="spellEnd"/>
      <w:r w:rsidRPr="006D3C51">
        <w:rPr>
          <w:rFonts w:ascii="Times New Roman" w:hAnsi="Times New Roman" w:cs="Times New Roman"/>
          <w:sz w:val="24"/>
          <w:szCs w:val="24"/>
        </w:rPr>
        <w:t xml:space="preserve"> emitieron un voto particular disidente muy interesante: declararon que en esos tres años desde la sentencia </w:t>
      </w:r>
      <w:proofErr w:type="spellStart"/>
      <w:r w:rsidRPr="006D3C51">
        <w:rPr>
          <w:rFonts w:ascii="Times New Roman" w:hAnsi="Times New Roman" w:cs="Times New Roman"/>
          <w:i/>
          <w:sz w:val="24"/>
          <w:szCs w:val="24"/>
        </w:rPr>
        <w:t>Rees</w:t>
      </w:r>
      <w:proofErr w:type="spellEnd"/>
      <w:r w:rsidRPr="006D3C51">
        <w:rPr>
          <w:rFonts w:ascii="Times New Roman" w:hAnsi="Times New Roman" w:cs="Times New Roman"/>
          <w:sz w:val="24"/>
          <w:szCs w:val="24"/>
        </w:rPr>
        <w:t xml:space="preserve"> hasta el caso de autos, </w:t>
      </w:r>
      <w:r w:rsidR="007D6AF7" w:rsidRPr="006D3C51">
        <w:rPr>
          <w:rFonts w:ascii="Times New Roman" w:hAnsi="Times New Roman" w:cs="Times New Roman"/>
          <w:sz w:val="24"/>
          <w:szCs w:val="24"/>
        </w:rPr>
        <w:t>el “</w:t>
      </w:r>
      <w:r w:rsidR="007D6AF7" w:rsidRPr="006D3C51">
        <w:rPr>
          <w:rFonts w:ascii="Times New Roman" w:hAnsi="Times New Roman" w:cs="Times New Roman"/>
          <w:i/>
          <w:sz w:val="24"/>
          <w:szCs w:val="24"/>
        </w:rPr>
        <w:t>Derecho de «muchos» de los Estados miembros del Consejo de Europa ha «evolucionado claramente»</w:t>
      </w:r>
      <w:r w:rsidR="007D6AF7" w:rsidRPr="006D3C51">
        <w:rPr>
          <w:rFonts w:ascii="Times New Roman" w:hAnsi="Times New Roman" w:cs="Times New Roman"/>
          <w:sz w:val="24"/>
          <w:szCs w:val="24"/>
        </w:rPr>
        <w:t>” en la dirección de una mayor protección de los derechos de las personas transexuales. Por esta razón, en consideración también de las mismas afirmaciones de la mayoría del Tribunal sobre este aspecto (mencionadas antes), los jueces disidentes opinaron que “</w:t>
      </w:r>
      <w:r w:rsidR="007D6AF7" w:rsidRPr="006D3C51">
        <w:rPr>
          <w:rFonts w:ascii="Times New Roman" w:hAnsi="Times New Roman" w:cs="Times New Roman"/>
          <w:i/>
          <w:sz w:val="24"/>
          <w:szCs w:val="24"/>
        </w:rPr>
        <w:t xml:space="preserve">si en el caso </w:t>
      </w:r>
      <w:proofErr w:type="spellStart"/>
      <w:r w:rsidR="007D6AF7" w:rsidRPr="006D3C51">
        <w:rPr>
          <w:rFonts w:ascii="Times New Roman" w:hAnsi="Times New Roman" w:cs="Times New Roman"/>
          <w:i/>
          <w:sz w:val="24"/>
          <w:szCs w:val="24"/>
        </w:rPr>
        <w:t>Rees</w:t>
      </w:r>
      <w:proofErr w:type="spellEnd"/>
      <w:r w:rsidR="007D6AF7" w:rsidRPr="006D3C51">
        <w:rPr>
          <w:rFonts w:ascii="Times New Roman" w:hAnsi="Times New Roman" w:cs="Times New Roman"/>
          <w:i/>
          <w:sz w:val="24"/>
          <w:szCs w:val="24"/>
        </w:rPr>
        <w:t xml:space="preserve"> el principio del «amplio margen de apreciación» de los Estados era ciertamente aceptable, no sucede lo mismo en la actualidad</w:t>
      </w:r>
      <w:r w:rsidR="007D6AF7" w:rsidRPr="006D3C51">
        <w:rPr>
          <w:rFonts w:ascii="Times New Roman" w:hAnsi="Times New Roman" w:cs="Times New Roman"/>
          <w:sz w:val="24"/>
          <w:szCs w:val="24"/>
        </w:rPr>
        <w:t>”, provocando</w:t>
      </w:r>
      <w:r w:rsidRPr="006D3C51">
        <w:rPr>
          <w:rFonts w:ascii="Times New Roman" w:hAnsi="Times New Roman" w:cs="Times New Roman"/>
          <w:sz w:val="24"/>
          <w:szCs w:val="24"/>
        </w:rPr>
        <w:t xml:space="preserve"> la vulneración del art. 8 CEDH</w:t>
      </w:r>
      <w:r w:rsidR="007D6AF7" w:rsidRPr="006D3C51">
        <w:rPr>
          <w:rFonts w:ascii="Times New Roman" w:hAnsi="Times New Roman" w:cs="Times New Roman"/>
          <w:sz w:val="24"/>
          <w:szCs w:val="24"/>
        </w:rPr>
        <w:t xml:space="preserve"> y la necesidad de que se tomen “</w:t>
      </w:r>
      <w:r w:rsidR="007D6AF7" w:rsidRPr="006D3C51">
        <w:rPr>
          <w:rFonts w:ascii="Times New Roman" w:hAnsi="Times New Roman" w:cs="Times New Roman"/>
          <w:i/>
          <w:sz w:val="24"/>
          <w:szCs w:val="24"/>
        </w:rPr>
        <w:t>medidas concretas desde ahora</w:t>
      </w:r>
      <w:r w:rsidR="007D6AF7" w:rsidRPr="006D3C51">
        <w:rPr>
          <w:rFonts w:ascii="Times New Roman" w:hAnsi="Times New Roman" w:cs="Times New Roman"/>
          <w:sz w:val="24"/>
          <w:szCs w:val="24"/>
        </w:rPr>
        <w:t>”</w:t>
      </w:r>
      <w:r w:rsidR="00534469" w:rsidRPr="006D3C51">
        <w:rPr>
          <w:rStyle w:val="Refdenotaalpie"/>
          <w:rFonts w:ascii="Times New Roman" w:hAnsi="Times New Roman" w:cs="Times New Roman"/>
          <w:sz w:val="24"/>
          <w:szCs w:val="24"/>
        </w:rPr>
        <w:footnoteReference w:id="13"/>
      </w:r>
      <w:r w:rsidR="00C40446">
        <w:rPr>
          <w:rFonts w:ascii="Times New Roman" w:hAnsi="Times New Roman" w:cs="Times New Roman"/>
          <w:sz w:val="24"/>
          <w:szCs w:val="24"/>
        </w:rPr>
        <w:t>.</w:t>
      </w:r>
    </w:p>
    <w:p w14:paraId="16D3637C" w14:textId="77777777" w:rsidR="00D8005F" w:rsidRPr="006D3C51" w:rsidRDefault="00D1366F"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El juez </w:t>
      </w:r>
      <w:bookmarkStart w:id="7" w:name="_Hlk75193431"/>
      <w:r w:rsidR="00EE44AA" w:rsidRPr="006D3C51">
        <w:rPr>
          <w:rFonts w:ascii="Times New Roman" w:hAnsi="Times New Roman" w:cs="Times New Roman"/>
          <w:sz w:val="24"/>
          <w:szCs w:val="24"/>
        </w:rPr>
        <w:t xml:space="preserve">Martens </w:t>
      </w:r>
      <w:bookmarkEnd w:id="7"/>
      <w:r w:rsidR="00691556" w:rsidRPr="006D3C51">
        <w:rPr>
          <w:rFonts w:ascii="Times New Roman" w:hAnsi="Times New Roman" w:cs="Times New Roman"/>
          <w:sz w:val="24"/>
          <w:szCs w:val="24"/>
        </w:rPr>
        <w:t xml:space="preserve">emitió un voto particular especialmente renovador y avanzado para esos tiempos, detallando con rigor la situación de sufrimiento que viven los transexuales al no poder ver reconocida por la sociedad y sobre todo por la legislación su identidad sexual. No sería suficiente, en efecto, </w:t>
      </w:r>
      <w:r w:rsidR="00D8005F" w:rsidRPr="006D3C51">
        <w:rPr>
          <w:rFonts w:ascii="Times New Roman" w:hAnsi="Times New Roman" w:cs="Times New Roman"/>
          <w:sz w:val="24"/>
          <w:szCs w:val="24"/>
        </w:rPr>
        <w:t xml:space="preserve">para que la persona transexual pueda disfrutar plenamente de sus derechos, </w:t>
      </w:r>
      <w:r w:rsidR="00691556" w:rsidRPr="006D3C51">
        <w:rPr>
          <w:rFonts w:ascii="Times New Roman" w:hAnsi="Times New Roman" w:cs="Times New Roman"/>
          <w:sz w:val="24"/>
          <w:szCs w:val="24"/>
        </w:rPr>
        <w:t xml:space="preserve">el cambio de sexo desde el punto de vista exterior (vestimentas y comportamientos, tratamientos hormonales, operaciones quirúrgicas), si este no se ve acompañado con una efectiva modificación del sexo registral. Esta incongruencia provocaría la violación del derecho al libre desarrollo de la personalidad y de la dignidad </w:t>
      </w:r>
      <w:r w:rsidR="00691556" w:rsidRPr="006D3C51">
        <w:rPr>
          <w:rFonts w:ascii="Times New Roman" w:hAnsi="Times New Roman" w:cs="Times New Roman"/>
          <w:sz w:val="24"/>
          <w:szCs w:val="24"/>
        </w:rPr>
        <w:lastRenderedPageBreak/>
        <w:t>de estas personas, sin que este trato responda a una exigencia de orden o interés público que justifique tal injerencia en sus derechos fundamentales.</w:t>
      </w:r>
      <w:r w:rsidR="007A6F5E" w:rsidRPr="006D3C51">
        <w:rPr>
          <w:rFonts w:ascii="Times New Roman" w:hAnsi="Times New Roman" w:cs="Times New Roman"/>
          <w:sz w:val="24"/>
          <w:szCs w:val="24"/>
        </w:rPr>
        <w:t xml:space="preserve"> </w:t>
      </w:r>
    </w:p>
    <w:p w14:paraId="7B7BF379" w14:textId="5E26F009" w:rsidR="00B515A0" w:rsidRPr="006D3C51" w:rsidRDefault="007A6F5E"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El juez disidente citó también la legislación y jurisprudencia de otros países, para fundamentar la evolución de las sociedades que componen el Consejo de Europa respecto de</w:t>
      </w:r>
      <w:r w:rsidR="003D6F05" w:rsidRPr="006D3C51">
        <w:rPr>
          <w:rFonts w:ascii="Times New Roman" w:hAnsi="Times New Roman" w:cs="Times New Roman"/>
          <w:sz w:val="24"/>
          <w:szCs w:val="24"/>
        </w:rPr>
        <w:t xml:space="preserve"> la situación del colectivo transexual. </w:t>
      </w:r>
    </w:p>
    <w:p w14:paraId="713E8FEF" w14:textId="0829C7F0" w:rsidR="00EE44AA" w:rsidRPr="006D3C51" w:rsidRDefault="00835FEB"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Asimismo, </w:t>
      </w:r>
      <w:r w:rsidR="00273789" w:rsidRPr="006D3C51">
        <w:rPr>
          <w:rFonts w:ascii="Times New Roman" w:hAnsi="Times New Roman" w:cs="Times New Roman"/>
          <w:sz w:val="24"/>
          <w:szCs w:val="24"/>
        </w:rPr>
        <w:t>proporcionó una interpretación del margen de apreciación nacional que es la que defenderé a lo largo de este trabajo</w:t>
      </w:r>
      <w:r w:rsidRPr="006D3C51">
        <w:rPr>
          <w:rFonts w:ascii="Times New Roman" w:hAnsi="Times New Roman" w:cs="Times New Roman"/>
          <w:sz w:val="24"/>
          <w:szCs w:val="24"/>
        </w:rPr>
        <w:t xml:space="preserve"> y que se analizará con más detenimiento en la parte final de este mismo: si es verdad que el TEDH tiene que reconocer a los Estados, </w:t>
      </w:r>
      <w:r w:rsidR="00273789" w:rsidRPr="006D3C51">
        <w:rPr>
          <w:rFonts w:ascii="Times New Roman" w:hAnsi="Times New Roman" w:cs="Times New Roman"/>
          <w:sz w:val="24"/>
          <w:szCs w:val="24"/>
        </w:rPr>
        <w:t>en determinadas circunstancias, algún margen de apreciación</w:t>
      </w:r>
      <w:r w:rsidRPr="006D3C51">
        <w:rPr>
          <w:rFonts w:ascii="Times New Roman" w:hAnsi="Times New Roman" w:cs="Times New Roman"/>
          <w:sz w:val="24"/>
          <w:szCs w:val="24"/>
        </w:rPr>
        <w:t>,</w:t>
      </w:r>
      <w:r w:rsidRPr="006D3C51">
        <w:rPr>
          <w:rFonts w:ascii="Times New Roman" w:hAnsi="Times New Roman" w:cs="Times New Roman"/>
          <w:i/>
          <w:sz w:val="24"/>
          <w:szCs w:val="24"/>
        </w:rPr>
        <w:t xml:space="preserve"> </w:t>
      </w:r>
      <w:r w:rsidRPr="006D3C51">
        <w:rPr>
          <w:rFonts w:ascii="Times New Roman" w:hAnsi="Times New Roman" w:cs="Times New Roman"/>
          <w:sz w:val="24"/>
          <w:szCs w:val="24"/>
        </w:rPr>
        <w:t>no puede olvidarse que el Tribunal tiene que c</w:t>
      </w:r>
      <w:r w:rsidR="00273789" w:rsidRPr="006D3C51">
        <w:rPr>
          <w:rFonts w:ascii="Times New Roman" w:hAnsi="Times New Roman" w:cs="Times New Roman"/>
          <w:sz w:val="24"/>
          <w:szCs w:val="24"/>
        </w:rPr>
        <w:t xml:space="preserve">omprobar si los Estados han </w:t>
      </w:r>
      <w:r w:rsidRPr="006D3C51">
        <w:rPr>
          <w:rFonts w:ascii="Times New Roman" w:hAnsi="Times New Roman" w:cs="Times New Roman"/>
          <w:sz w:val="24"/>
          <w:szCs w:val="24"/>
        </w:rPr>
        <w:t>respetado los derechos reconocidos por</w:t>
      </w:r>
      <w:r w:rsidR="00273789" w:rsidRPr="006D3C51">
        <w:rPr>
          <w:rFonts w:ascii="Times New Roman" w:hAnsi="Times New Roman" w:cs="Times New Roman"/>
          <w:sz w:val="24"/>
          <w:szCs w:val="24"/>
        </w:rPr>
        <w:t xml:space="preserve"> el Convenio</w:t>
      </w:r>
      <w:r w:rsidRPr="006D3C51">
        <w:rPr>
          <w:rFonts w:ascii="Times New Roman" w:hAnsi="Times New Roman" w:cs="Times New Roman"/>
          <w:sz w:val="24"/>
          <w:szCs w:val="24"/>
        </w:rPr>
        <w:t xml:space="preserve"> y crear y desarrollar normas comunes para que se garantice que el CEDH</w:t>
      </w:r>
      <w:r w:rsidR="00273789" w:rsidRPr="006D3C51">
        <w:rPr>
          <w:rFonts w:ascii="Times New Roman" w:hAnsi="Times New Roman" w:cs="Times New Roman"/>
          <w:sz w:val="24"/>
          <w:szCs w:val="24"/>
        </w:rPr>
        <w:t xml:space="preserve"> siga siendo un instrumento vivo cuya interpretación refleje la evolución de la sociedad y responda a las condiciones </w:t>
      </w:r>
      <w:r w:rsidRPr="006D3C51">
        <w:rPr>
          <w:rFonts w:ascii="Times New Roman" w:hAnsi="Times New Roman" w:cs="Times New Roman"/>
          <w:sz w:val="24"/>
          <w:szCs w:val="24"/>
        </w:rPr>
        <w:t xml:space="preserve">y necesidades </w:t>
      </w:r>
      <w:r w:rsidR="00273789" w:rsidRPr="006D3C51">
        <w:rPr>
          <w:rFonts w:ascii="Times New Roman" w:hAnsi="Times New Roman" w:cs="Times New Roman"/>
          <w:sz w:val="24"/>
          <w:szCs w:val="24"/>
        </w:rPr>
        <w:t>actuales.</w:t>
      </w:r>
      <w:r w:rsidRPr="006D3C51">
        <w:rPr>
          <w:rFonts w:ascii="Times New Roman" w:hAnsi="Times New Roman" w:cs="Times New Roman"/>
          <w:sz w:val="24"/>
          <w:szCs w:val="24"/>
        </w:rPr>
        <w:t xml:space="preserve"> El Tribunal, invocando el amplio margen de apreciación de los Estados en un “</w:t>
      </w:r>
      <w:r w:rsidR="00273789" w:rsidRPr="006D3C51">
        <w:rPr>
          <w:rFonts w:ascii="Times New Roman" w:hAnsi="Times New Roman" w:cs="Times New Roman"/>
          <w:i/>
          <w:sz w:val="24"/>
          <w:szCs w:val="24"/>
        </w:rPr>
        <w:t>ámbito tan fundamental como el del respeto de la dignidad humana y de la vida privada</w:t>
      </w:r>
      <w:r w:rsidRPr="006D3C51">
        <w:rPr>
          <w:rFonts w:ascii="Times New Roman" w:hAnsi="Times New Roman" w:cs="Times New Roman"/>
          <w:i/>
          <w:sz w:val="24"/>
          <w:szCs w:val="24"/>
        </w:rPr>
        <w:t xml:space="preserve"> […] </w:t>
      </w:r>
      <w:r w:rsidR="00273789" w:rsidRPr="006D3C51">
        <w:rPr>
          <w:rFonts w:ascii="Times New Roman" w:hAnsi="Times New Roman" w:cs="Times New Roman"/>
          <w:i/>
          <w:sz w:val="24"/>
          <w:szCs w:val="24"/>
        </w:rPr>
        <w:t>ha desaprovechado la posibilidad que tenía como último recurso de los oprimidos</w:t>
      </w:r>
      <w:r w:rsidR="00273789" w:rsidRPr="006D3C51">
        <w:rPr>
          <w:rFonts w:ascii="Times New Roman" w:hAnsi="Times New Roman" w:cs="Times New Roman"/>
          <w:sz w:val="24"/>
          <w:szCs w:val="24"/>
        </w:rPr>
        <w:t>”</w:t>
      </w:r>
      <w:r w:rsidRPr="006D3C51">
        <w:rPr>
          <w:rFonts w:ascii="Times New Roman" w:hAnsi="Times New Roman" w:cs="Times New Roman"/>
          <w:sz w:val="24"/>
          <w:szCs w:val="24"/>
        </w:rPr>
        <w:t xml:space="preserve"> (</w:t>
      </w:r>
      <w:r w:rsidR="00AA17B6" w:rsidRPr="006D3C51">
        <w:rPr>
          <w:rFonts w:ascii="Times New Roman" w:hAnsi="Times New Roman" w:cs="Times New Roman"/>
          <w:sz w:val="24"/>
          <w:szCs w:val="24"/>
        </w:rPr>
        <w:t xml:space="preserve">§ </w:t>
      </w:r>
      <w:r w:rsidRPr="006D3C51">
        <w:rPr>
          <w:rFonts w:ascii="Times New Roman" w:hAnsi="Times New Roman" w:cs="Times New Roman"/>
          <w:sz w:val="24"/>
          <w:szCs w:val="24"/>
        </w:rPr>
        <w:t>3.6.4)</w:t>
      </w:r>
      <w:r w:rsidR="00EC50AB" w:rsidRPr="006D3C51">
        <w:rPr>
          <w:rStyle w:val="Refdenotaalpie"/>
          <w:rFonts w:ascii="Times New Roman" w:hAnsi="Times New Roman" w:cs="Times New Roman"/>
          <w:sz w:val="24"/>
          <w:szCs w:val="24"/>
        </w:rPr>
        <w:footnoteReference w:id="14"/>
      </w:r>
      <w:r w:rsidR="00C40446">
        <w:rPr>
          <w:rFonts w:ascii="Times New Roman" w:hAnsi="Times New Roman" w:cs="Times New Roman"/>
          <w:sz w:val="24"/>
          <w:szCs w:val="24"/>
        </w:rPr>
        <w:t>.</w:t>
      </w:r>
    </w:p>
    <w:p w14:paraId="54518E5E" w14:textId="57CF816A" w:rsidR="005A13CF" w:rsidRPr="006D3C51" w:rsidRDefault="005A13CF" w:rsidP="00781D53">
      <w:pPr>
        <w:spacing w:after="0" w:line="276" w:lineRule="auto"/>
        <w:jc w:val="both"/>
        <w:rPr>
          <w:rFonts w:ascii="Times New Roman" w:hAnsi="Times New Roman" w:cs="Times New Roman"/>
          <w:sz w:val="24"/>
          <w:szCs w:val="24"/>
        </w:rPr>
      </w:pPr>
    </w:p>
    <w:p w14:paraId="4EA4B478" w14:textId="0D547AFE" w:rsidR="005A13CF" w:rsidRDefault="00D14539" w:rsidP="00781D53">
      <w:pPr>
        <w:spacing w:after="0" w:line="276" w:lineRule="auto"/>
        <w:jc w:val="both"/>
        <w:rPr>
          <w:rFonts w:ascii="Times New Roman" w:hAnsi="Times New Roman" w:cs="Times New Roman"/>
          <w:b/>
          <w:sz w:val="24"/>
          <w:szCs w:val="24"/>
        </w:rPr>
      </w:pPr>
      <w:bookmarkStart w:id="8" w:name="_Hlk83721841"/>
      <w:bookmarkStart w:id="9" w:name="_Hlk83721571"/>
      <w:r>
        <w:rPr>
          <w:rFonts w:ascii="Times New Roman" w:hAnsi="Times New Roman" w:cs="Times New Roman"/>
          <w:b/>
          <w:sz w:val="24"/>
          <w:szCs w:val="24"/>
        </w:rPr>
        <w:t xml:space="preserve">III. </w:t>
      </w:r>
      <w:r w:rsidR="00957F1C">
        <w:rPr>
          <w:rFonts w:ascii="Times New Roman" w:hAnsi="Times New Roman" w:cs="Times New Roman"/>
          <w:b/>
          <w:sz w:val="24"/>
          <w:szCs w:val="24"/>
        </w:rPr>
        <w:t>Un pequeño</w:t>
      </w:r>
      <w:r w:rsidR="00464AC5">
        <w:rPr>
          <w:rFonts w:ascii="Times New Roman" w:hAnsi="Times New Roman" w:cs="Times New Roman"/>
          <w:b/>
          <w:sz w:val="24"/>
          <w:szCs w:val="24"/>
        </w:rPr>
        <w:t xml:space="preserve"> paso adelante en el reconocimiento de los derechos de las personas transexuales</w:t>
      </w:r>
      <w:r w:rsidR="00957F1C">
        <w:rPr>
          <w:rFonts w:ascii="Times New Roman" w:hAnsi="Times New Roman" w:cs="Times New Roman"/>
          <w:b/>
          <w:sz w:val="24"/>
          <w:szCs w:val="24"/>
        </w:rPr>
        <w:t>, entre muchas confirmaciones de los consolidados prejuicios hacia el colectivo trans</w:t>
      </w:r>
      <w:r w:rsidR="001077BA">
        <w:rPr>
          <w:rFonts w:ascii="Times New Roman" w:hAnsi="Times New Roman" w:cs="Times New Roman"/>
          <w:b/>
          <w:sz w:val="24"/>
          <w:szCs w:val="24"/>
        </w:rPr>
        <w:t>.</w:t>
      </w:r>
      <w:r w:rsidR="00957F1C">
        <w:rPr>
          <w:rFonts w:ascii="Times New Roman" w:hAnsi="Times New Roman" w:cs="Times New Roman"/>
          <w:b/>
          <w:sz w:val="24"/>
          <w:szCs w:val="24"/>
        </w:rPr>
        <w:t xml:space="preserve"> </w:t>
      </w:r>
    </w:p>
    <w:bookmarkEnd w:id="8"/>
    <w:p w14:paraId="3849186D" w14:textId="77777777" w:rsidR="00957F1C" w:rsidRPr="006D3C51" w:rsidRDefault="00957F1C" w:rsidP="00781D53">
      <w:pPr>
        <w:spacing w:after="0" w:line="276" w:lineRule="auto"/>
        <w:jc w:val="both"/>
        <w:rPr>
          <w:rFonts w:ascii="Times New Roman" w:hAnsi="Times New Roman" w:cs="Times New Roman"/>
          <w:b/>
          <w:sz w:val="24"/>
          <w:szCs w:val="24"/>
        </w:rPr>
      </w:pPr>
    </w:p>
    <w:bookmarkEnd w:id="9"/>
    <w:p w14:paraId="034DF823" w14:textId="7E4F518A" w:rsidR="00D06ABD" w:rsidRPr="006D3C51" w:rsidRDefault="00BD79CF"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La sentencia del TEDH de 25 de marzo de 1992, asunto </w:t>
      </w:r>
      <w:r w:rsidRPr="00781D53">
        <w:rPr>
          <w:rFonts w:ascii="Times New Roman" w:hAnsi="Times New Roman" w:cs="Times New Roman"/>
          <w:i/>
          <w:iCs/>
          <w:sz w:val="24"/>
          <w:szCs w:val="24"/>
        </w:rPr>
        <w:t>B. c. France</w:t>
      </w:r>
      <w:r w:rsidR="00262D40" w:rsidRPr="006D3C51">
        <w:rPr>
          <w:rStyle w:val="Refdenotaalpie"/>
          <w:rFonts w:ascii="Times New Roman" w:hAnsi="Times New Roman" w:cs="Times New Roman"/>
          <w:iCs/>
          <w:sz w:val="24"/>
          <w:szCs w:val="24"/>
        </w:rPr>
        <w:footnoteReference w:id="15"/>
      </w:r>
      <w:r w:rsidR="00C40446">
        <w:rPr>
          <w:rFonts w:ascii="Times New Roman" w:hAnsi="Times New Roman" w:cs="Times New Roman"/>
          <w:iCs/>
          <w:sz w:val="24"/>
          <w:szCs w:val="24"/>
        </w:rPr>
        <w:t>,</w:t>
      </w:r>
      <w:r w:rsidRPr="006D3C51">
        <w:rPr>
          <w:rFonts w:ascii="Times New Roman" w:hAnsi="Times New Roman" w:cs="Times New Roman"/>
          <w:iCs/>
          <w:sz w:val="24"/>
          <w:szCs w:val="24"/>
        </w:rPr>
        <w:t xml:space="preserve"> “</w:t>
      </w:r>
      <w:r w:rsidRPr="006D3C51">
        <w:rPr>
          <w:rFonts w:ascii="Times New Roman" w:hAnsi="Times New Roman" w:cs="Times New Roman"/>
          <w:i/>
          <w:sz w:val="24"/>
          <w:szCs w:val="24"/>
        </w:rPr>
        <w:t>supuso un punto de inflexión para el TEDH respecto a la temática transexual y el reconocimiento de los derechos de este colectivo</w:t>
      </w:r>
      <w:r w:rsidR="002C5B66" w:rsidRPr="006D3C51">
        <w:rPr>
          <w:rFonts w:ascii="Times New Roman" w:hAnsi="Times New Roman" w:cs="Times New Roman"/>
          <w:sz w:val="24"/>
          <w:szCs w:val="24"/>
        </w:rPr>
        <w:t>”</w:t>
      </w:r>
      <w:r w:rsidRPr="006D3C51">
        <w:rPr>
          <w:rStyle w:val="Refdenotaalpie"/>
          <w:rFonts w:ascii="Times New Roman" w:hAnsi="Times New Roman" w:cs="Times New Roman"/>
          <w:sz w:val="24"/>
          <w:szCs w:val="24"/>
        </w:rPr>
        <w:footnoteReference w:id="16"/>
      </w:r>
      <w:r w:rsidR="00C40446">
        <w:rPr>
          <w:rFonts w:ascii="Times New Roman" w:hAnsi="Times New Roman" w:cs="Times New Roman"/>
          <w:sz w:val="24"/>
          <w:szCs w:val="24"/>
        </w:rPr>
        <w:t>,</w:t>
      </w:r>
      <w:r w:rsidRPr="006D3C51">
        <w:rPr>
          <w:rFonts w:ascii="Times New Roman" w:hAnsi="Times New Roman" w:cs="Times New Roman"/>
          <w:sz w:val="24"/>
          <w:szCs w:val="24"/>
        </w:rPr>
        <w:t xml:space="preserve"> en particular respecto de la </w:t>
      </w:r>
      <w:r w:rsidR="002C5B66" w:rsidRPr="006D3C51">
        <w:rPr>
          <w:rFonts w:ascii="Times New Roman" w:hAnsi="Times New Roman" w:cs="Times New Roman"/>
          <w:sz w:val="24"/>
          <w:szCs w:val="24"/>
        </w:rPr>
        <w:t xml:space="preserve">problemática </w:t>
      </w:r>
      <w:r w:rsidRPr="006D3C51">
        <w:rPr>
          <w:rFonts w:ascii="Times New Roman" w:hAnsi="Times New Roman" w:cs="Times New Roman"/>
          <w:sz w:val="24"/>
          <w:szCs w:val="24"/>
        </w:rPr>
        <w:t xml:space="preserve">analizada en este trabajo. </w:t>
      </w:r>
    </w:p>
    <w:p w14:paraId="3AEE324C" w14:textId="218C4A05" w:rsidR="00D06ABD" w:rsidRPr="006D3C51" w:rsidRDefault="00BD79CF"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En el caso ahora en examen, en efecto, </w:t>
      </w:r>
      <w:r w:rsidR="00D06ABD" w:rsidRPr="006D3C51">
        <w:rPr>
          <w:rFonts w:ascii="Times New Roman" w:hAnsi="Times New Roman" w:cs="Times New Roman"/>
          <w:sz w:val="24"/>
          <w:szCs w:val="24"/>
        </w:rPr>
        <w:t xml:space="preserve">el Tribunal Europeo redujo el margen de apreciación de los Estados en la valoración de si el reconocimiento de un cambio de sexo se ajustaba o no </w:t>
      </w:r>
      <w:r w:rsidR="00215A9C">
        <w:rPr>
          <w:rFonts w:ascii="Times New Roman" w:hAnsi="Times New Roman" w:cs="Times New Roman"/>
          <w:sz w:val="24"/>
          <w:szCs w:val="24"/>
        </w:rPr>
        <w:t>a</w:t>
      </w:r>
      <w:r w:rsidR="00D06ABD" w:rsidRPr="006D3C51">
        <w:rPr>
          <w:rFonts w:ascii="Times New Roman" w:hAnsi="Times New Roman" w:cs="Times New Roman"/>
          <w:sz w:val="24"/>
          <w:szCs w:val="24"/>
        </w:rPr>
        <w:t xml:space="preserve">l ordenamiento jurídico interno, y condenó a Francia por violación del art. 8 CEDH </w:t>
      </w:r>
      <w:r w:rsidR="00271521" w:rsidRPr="006D3C51">
        <w:rPr>
          <w:rFonts w:ascii="Times New Roman" w:hAnsi="Times New Roman" w:cs="Times New Roman"/>
          <w:sz w:val="24"/>
          <w:szCs w:val="24"/>
        </w:rPr>
        <w:t xml:space="preserve">por el hecho de no haber permitido a la Sra. B., transexual nacida con sexo biológico masculino, el cambio registral de su identidad sexual al </w:t>
      </w:r>
      <w:r w:rsidR="00300954">
        <w:rPr>
          <w:rFonts w:ascii="Times New Roman" w:hAnsi="Times New Roman" w:cs="Times New Roman"/>
          <w:sz w:val="24"/>
          <w:szCs w:val="24"/>
        </w:rPr>
        <w:t xml:space="preserve">sexo </w:t>
      </w:r>
      <w:r w:rsidR="00271521" w:rsidRPr="006D3C51">
        <w:rPr>
          <w:rFonts w:ascii="Times New Roman" w:hAnsi="Times New Roman" w:cs="Times New Roman"/>
          <w:sz w:val="24"/>
          <w:szCs w:val="24"/>
        </w:rPr>
        <w:t xml:space="preserve">femenino. </w:t>
      </w:r>
    </w:p>
    <w:p w14:paraId="0CDFD9CB" w14:textId="72712D80" w:rsidR="008F7628" w:rsidRPr="006D3C51" w:rsidRDefault="00633B00"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El Tribunal, aunque coincidiera en que las mentalidades sobre el tema de la transexualidad ha</w:t>
      </w:r>
      <w:r w:rsidR="00BE39B5" w:rsidRPr="006D3C51">
        <w:rPr>
          <w:rFonts w:ascii="Times New Roman" w:hAnsi="Times New Roman" w:cs="Times New Roman"/>
          <w:sz w:val="24"/>
          <w:szCs w:val="24"/>
        </w:rPr>
        <w:t>bían</w:t>
      </w:r>
      <w:r w:rsidRPr="006D3C51">
        <w:rPr>
          <w:rFonts w:ascii="Times New Roman" w:hAnsi="Times New Roman" w:cs="Times New Roman"/>
          <w:sz w:val="24"/>
          <w:szCs w:val="24"/>
        </w:rPr>
        <w:t xml:space="preserve"> evolucionado, siguió afirmando que no existía en aquel momento un consenso suficientemente amplio entre los Estados miembros del Consejo de Europa </w:t>
      </w:r>
      <w:r w:rsidRPr="006D3C51">
        <w:rPr>
          <w:rFonts w:ascii="Times New Roman" w:hAnsi="Times New Roman" w:cs="Times New Roman"/>
          <w:sz w:val="24"/>
          <w:szCs w:val="24"/>
        </w:rPr>
        <w:lastRenderedPageBreak/>
        <w:t xml:space="preserve">para llevar al Tribunal a modificar su jurisprudencia sentada en las sentencias </w:t>
      </w:r>
      <w:proofErr w:type="spellStart"/>
      <w:r w:rsidRPr="006D3C51">
        <w:rPr>
          <w:rFonts w:ascii="Times New Roman" w:hAnsi="Times New Roman" w:cs="Times New Roman"/>
          <w:i/>
          <w:sz w:val="24"/>
          <w:szCs w:val="24"/>
        </w:rPr>
        <w:t>Rees</w:t>
      </w:r>
      <w:proofErr w:type="spellEnd"/>
      <w:r w:rsidRPr="006D3C51">
        <w:rPr>
          <w:rFonts w:ascii="Times New Roman" w:hAnsi="Times New Roman" w:cs="Times New Roman"/>
          <w:sz w:val="24"/>
          <w:szCs w:val="24"/>
        </w:rPr>
        <w:t xml:space="preserve"> y </w:t>
      </w:r>
      <w:proofErr w:type="spellStart"/>
      <w:r w:rsidRPr="006D3C51">
        <w:rPr>
          <w:rFonts w:ascii="Times New Roman" w:hAnsi="Times New Roman" w:cs="Times New Roman"/>
          <w:i/>
          <w:sz w:val="24"/>
          <w:szCs w:val="24"/>
        </w:rPr>
        <w:t>Cossey</w:t>
      </w:r>
      <w:proofErr w:type="spellEnd"/>
      <w:r w:rsidR="00AA17B6" w:rsidRPr="006D3C51">
        <w:rPr>
          <w:rFonts w:ascii="Times New Roman" w:hAnsi="Times New Roman" w:cs="Times New Roman"/>
          <w:sz w:val="24"/>
          <w:szCs w:val="24"/>
        </w:rPr>
        <w:t xml:space="preserve"> (§ 48).</w:t>
      </w:r>
      <w:r w:rsidR="008F7628" w:rsidRPr="006D3C51">
        <w:rPr>
          <w:rFonts w:ascii="Times New Roman" w:hAnsi="Times New Roman" w:cs="Times New Roman"/>
          <w:sz w:val="24"/>
          <w:szCs w:val="24"/>
        </w:rPr>
        <w:t xml:space="preserve"> </w:t>
      </w:r>
    </w:p>
    <w:p w14:paraId="4667A745" w14:textId="64CF2CAF" w:rsidR="00633B00" w:rsidRPr="006D3C51" w:rsidRDefault="008F7628"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No obstante, la normativa francesa dif</w:t>
      </w:r>
      <w:r w:rsidR="00D1707A" w:rsidRPr="006D3C51">
        <w:rPr>
          <w:rFonts w:ascii="Times New Roman" w:hAnsi="Times New Roman" w:cs="Times New Roman"/>
          <w:sz w:val="24"/>
          <w:szCs w:val="24"/>
        </w:rPr>
        <w:t>ería</w:t>
      </w:r>
      <w:r w:rsidRPr="006D3C51">
        <w:rPr>
          <w:rFonts w:ascii="Times New Roman" w:hAnsi="Times New Roman" w:cs="Times New Roman"/>
          <w:sz w:val="24"/>
          <w:szCs w:val="24"/>
        </w:rPr>
        <w:t xml:space="preserve"> de la inglesa en cuanto a la regulación de la modificación registral del sexo y habría permitido, sin la necesidad de una modificación legislativa y solo con un cambio en la jurisprudencia, aceptar la pretensión de la demandante. Asimismo, la negativa a conceder a la demandante el cambio de nombre deseado por ella no se fundó en un interés legítimo </w:t>
      </w:r>
      <w:r w:rsidR="00C71281" w:rsidRPr="006D3C51">
        <w:rPr>
          <w:rFonts w:ascii="Times New Roman" w:hAnsi="Times New Roman" w:cs="Times New Roman"/>
          <w:sz w:val="24"/>
          <w:szCs w:val="24"/>
        </w:rPr>
        <w:t>y, por tanto,</w:t>
      </w:r>
      <w:r w:rsidRPr="006D3C51">
        <w:rPr>
          <w:rFonts w:ascii="Times New Roman" w:hAnsi="Times New Roman" w:cs="Times New Roman"/>
          <w:sz w:val="24"/>
          <w:szCs w:val="24"/>
        </w:rPr>
        <w:t xml:space="preserve"> también </w:t>
      </w:r>
      <w:r w:rsidR="00C71281" w:rsidRPr="006D3C51">
        <w:rPr>
          <w:rFonts w:ascii="Times New Roman" w:hAnsi="Times New Roman" w:cs="Times New Roman"/>
          <w:sz w:val="24"/>
          <w:szCs w:val="24"/>
        </w:rPr>
        <w:t>constituyó</w:t>
      </w:r>
      <w:r w:rsidRPr="006D3C51">
        <w:rPr>
          <w:rFonts w:ascii="Times New Roman" w:hAnsi="Times New Roman" w:cs="Times New Roman"/>
          <w:sz w:val="24"/>
          <w:szCs w:val="24"/>
        </w:rPr>
        <w:t xml:space="preserve"> un elemento relevante en virtud del artículo 8 </w:t>
      </w:r>
      <w:r w:rsidR="00C71281" w:rsidRPr="006D3C51">
        <w:rPr>
          <w:rFonts w:ascii="Times New Roman" w:hAnsi="Times New Roman" w:cs="Times New Roman"/>
          <w:sz w:val="24"/>
          <w:szCs w:val="24"/>
        </w:rPr>
        <w:t>CEDH</w:t>
      </w:r>
      <w:r w:rsidR="00AA17B6" w:rsidRPr="006D3C51">
        <w:rPr>
          <w:rFonts w:ascii="Times New Roman" w:hAnsi="Times New Roman" w:cs="Times New Roman"/>
          <w:sz w:val="24"/>
          <w:szCs w:val="24"/>
        </w:rPr>
        <w:t xml:space="preserve"> (§§ 56-58)</w:t>
      </w:r>
      <w:r w:rsidRPr="006D3C51">
        <w:rPr>
          <w:rFonts w:ascii="Times New Roman" w:hAnsi="Times New Roman" w:cs="Times New Roman"/>
          <w:sz w:val="24"/>
          <w:szCs w:val="24"/>
        </w:rPr>
        <w:t>.</w:t>
      </w:r>
    </w:p>
    <w:p w14:paraId="79FDFE88" w14:textId="7B2C0975" w:rsidR="00BD79CF" w:rsidRPr="006D3C51" w:rsidRDefault="00D1707A"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Lo más relevante de esta decisión, sin embargo, se refiere a la parte en la que puede notarse un significativo cambio de “sensibilidad” en el Tribunal Europeo respecto de la condición de sufrimiento y humillación que padece</w:t>
      </w:r>
      <w:r w:rsidR="00AA17B6" w:rsidRPr="006D3C51">
        <w:rPr>
          <w:rFonts w:ascii="Times New Roman" w:hAnsi="Times New Roman" w:cs="Times New Roman"/>
          <w:sz w:val="24"/>
          <w:szCs w:val="24"/>
        </w:rPr>
        <w:t>n</w:t>
      </w:r>
      <w:r w:rsidRPr="006D3C51">
        <w:rPr>
          <w:rFonts w:ascii="Times New Roman" w:hAnsi="Times New Roman" w:cs="Times New Roman"/>
          <w:sz w:val="24"/>
          <w:szCs w:val="24"/>
        </w:rPr>
        <w:t xml:space="preserve"> las personas trans que no obtienen el reconocimiento legal de su identidad sexual. </w:t>
      </w:r>
      <w:r w:rsidR="0050484C" w:rsidRPr="006D3C51">
        <w:rPr>
          <w:rFonts w:ascii="Times New Roman" w:hAnsi="Times New Roman" w:cs="Times New Roman"/>
          <w:sz w:val="24"/>
          <w:szCs w:val="24"/>
        </w:rPr>
        <w:t>El TEDH, junto con la Comisión</w:t>
      </w:r>
      <w:r w:rsidR="00852B41" w:rsidRPr="006D3C51">
        <w:rPr>
          <w:rFonts w:ascii="Times New Roman" w:hAnsi="Times New Roman" w:cs="Times New Roman"/>
          <w:sz w:val="24"/>
          <w:szCs w:val="24"/>
        </w:rPr>
        <w:t xml:space="preserve"> EDH</w:t>
      </w:r>
      <w:r w:rsidR="0050484C" w:rsidRPr="006D3C51">
        <w:rPr>
          <w:rFonts w:ascii="Times New Roman" w:hAnsi="Times New Roman" w:cs="Times New Roman"/>
          <w:sz w:val="24"/>
          <w:szCs w:val="24"/>
        </w:rPr>
        <w:t xml:space="preserve">, reconoció que </w:t>
      </w:r>
      <w:r w:rsidRPr="006D3C51">
        <w:rPr>
          <w:rFonts w:ascii="Times New Roman" w:hAnsi="Times New Roman" w:cs="Times New Roman"/>
          <w:sz w:val="24"/>
          <w:szCs w:val="24"/>
        </w:rPr>
        <w:t xml:space="preserve">la demandante </w:t>
      </w:r>
      <w:r w:rsidR="0050484C" w:rsidRPr="006D3C51">
        <w:rPr>
          <w:rFonts w:ascii="Times New Roman" w:hAnsi="Times New Roman" w:cs="Times New Roman"/>
          <w:sz w:val="24"/>
          <w:szCs w:val="24"/>
        </w:rPr>
        <w:t>encontra</w:t>
      </w:r>
      <w:r w:rsidR="00D34D82" w:rsidRPr="006D3C51">
        <w:rPr>
          <w:rFonts w:ascii="Times New Roman" w:hAnsi="Times New Roman" w:cs="Times New Roman"/>
          <w:sz w:val="24"/>
          <w:szCs w:val="24"/>
        </w:rPr>
        <w:t>b</w:t>
      </w:r>
      <w:r w:rsidR="0050484C" w:rsidRPr="006D3C51">
        <w:rPr>
          <w:rFonts w:ascii="Times New Roman" w:hAnsi="Times New Roman" w:cs="Times New Roman"/>
          <w:sz w:val="24"/>
          <w:szCs w:val="24"/>
        </w:rPr>
        <w:t>a</w:t>
      </w:r>
      <w:r w:rsidRPr="006D3C51">
        <w:rPr>
          <w:rFonts w:ascii="Times New Roman" w:hAnsi="Times New Roman" w:cs="Times New Roman"/>
          <w:sz w:val="24"/>
          <w:szCs w:val="24"/>
        </w:rPr>
        <w:t xml:space="preserve"> dificultades diarias en su vida económica, </w:t>
      </w:r>
      <w:r w:rsidR="0050484C" w:rsidRPr="006D3C51">
        <w:rPr>
          <w:rFonts w:ascii="Times New Roman" w:hAnsi="Times New Roman" w:cs="Times New Roman"/>
          <w:sz w:val="24"/>
          <w:szCs w:val="24"/>
        </w:rPr>
        <w:t xml:space="preserve">además de sufrimientos constantes </w:t>
      </w:r>
      <w:r w:rsidRPr="006D3C51">
        <w:rPr>
          <w:rFonts w:ascii="Times New Roman" w:hAnsi="Times New Roman" w:cs="Times New Roman"/>
          <w:sz w:val="24"/>
          <w:szCs w:val="24"/>
        </w:rPr>
        <w:t xml:space="preserve">por la frecuente necesidad de revelar a terceros información relativa a su vida privada, </w:t>
      </w:r>
      <w:r w:rsidR="009750C1" w:rsidRPr="006D3C51">
        <w:rPr>
          <w:rFonts w:ascii="Times New Roman" w:hAnsi="Times New Roman" w:cs="Times New Roman"/>
          <w:sz w:val="24"/>
          <w:szCs w:val="24"/>
        </w:rPr>
        <w:t xml:space="preserve">que provocaban </w:t>
      </w:r>
      <w:r w:rsidR="0050484C" w:rsidRPr="006D3C51">
        <w:rPr>
          <w:rFonts w:ascii="Times New Roman" w:hAnsi="Times New Roman" w:cs="Times New Roman"/>
          <w:sz w:val="24"/>
          <w:szCs w:val="24"/>
        </w:rPr>
        <w:t>“</w:t>
      </w:r>
      <w:r w:rsidR="00621E3E" w:rsidRPr="006D3C51">
        <w:rPr>
          <w:rFonts w:ascii="Times New Roman" w:hAnsi="Times New Roman" w:cs="Times New Roman"/>
          <w:i/>
          <w:sz w:val="24"/>
          <w:szCs w:val="24"/>
        </w:rPr>
        <w:t>perturbaciones</w:t>
      </w:r>
      <w:r w:rsidRPr="006D3C51">
        <w:rPr>
          <w:rFonts w:ascii="Times New Roman" w:hAnsi="Times New Roman" w:cs="Times New Roman"/>
          <w:i/>
          <w:sz w:val="24"/>
          <w:szCs w:val="24"/>
        </w:rPr>
        <w:t xml:space="preserve"> demasiado graves para que el respeto de los derechos ajenos los justifique</w:t>
      </w:r>
      <w:r w:rsidR="0050484C" w:rsidRPr="006D3C51">
        <w:rPr>
          <w:rFonts w:ascii="Times New Roman" w:hAnsi="Times New Roman" w:cs="Times New Roman"/>
          <w:sz w:val="24"/>
          <w:szCs w:val="24"/>
        </w:rPr>
        <w:t>”</w:t>
      </w:r>
      <w:r w:rsidR="00AA17B6" w:rsidRPr="006D3C51">
        <w:rPr>
          <w:rFonts w:ascii="Times New Roman" w:hAnsi="Times New Roman" w:cs="Times New Roman"/>
          <w:sz w:val="24"/>
          <w:szCs w:val="24"/>
        </w:rPr>
        <w:t xml:space="preserve"> (§§ 59-60)</w:t>
      </w:r>
      <w:r w:rsidR="00C9273B" w:rsidRPr="006D3C51">
        <w:rPr>
          <w:rFonts w:ascii="Times New Roman" w:hAnsi="Times New Roman" w:cs="Times New Roman"/>
          <w:sz w:val="24"/>
          <w:szCs w:val="24"/>
        </w:rPr>
        <w:t xml:space="preserve">, </w:t>
      </w:r>
      <w:r w:rsidR="009750C1" w:rsidRPr="006D3C51">
        <w:rPr>
          <w:rFonts w:ascii="Times New Roman" w:hAnsi="Times New Roman" w:cs="Times New Roman"/>
          <w:sz w:val="24"/>
          <w:szCs w:val="24"/>
        </w:rPr>
        <w:t xml:space="preserve">y </w:t>
      </w:r>
      <w:r w:rsidR="00C9273B" w:rsidRPr="006D3C51">
        <w:rPr>
          <w:rFonts w:ascii="Times New Roman" w:hAnsi="Times New Roman" w:cs="Times New Roman"/>
          <w:sz w:val="24"/>
          <w:szCs w:val="24"/>
        </w:rPr>
        <w:t>que</w:t>
      </w:r>
      <w:r w:rsidR="009750C1" w:rsidRPr="006D3C51">
        <w:rPr>
          <w:rFonts w:ascii="Times New Roman" w:hAnsi="Times New Roman" w:cs="Times New Roman"/>
          <w:sz w:val="24"/>
          <w:szCs w:val="24"/>
        </w:rPr>
        <w:t>,</w:t>
      </w:r>
      <w:r w:rsidR="00C9273B" w:rsidRPr="006D3C51">
        <w:rPr>
          <w:rFonts w:ascii="Times New Roman" w:hAnsi="Times New Roman" w:cs="Times New Roman"/>
          <w:sz w:val="24"/>
          <w:szCs w:val="24"/>
        </w:rPr>
        <w:t xml:space="preserve"> por tanto</w:t>
      </w:r>
      <w:r w:rsidR="009750C1" w:rsidRPr="006D3C51">
        <w:rPr>
          <w:rFonts w:ascii="Times New Roman" w:hAnsi="Times New Roman" w:cs="Times New Roman"/>
          <w:sz w:val="24"/>
          <w:szCs w:val="24"/>
        </w:rPr>
        <w:t>,</w:t>
      </w:r>
      <w:r w:rsidR="00C9273B" w:rsidRPr="006D3C51">
        <w:rPr>
          <w:rFonts w:ascii="Times New Roman" w:hAnsi="Times New Roman" w:cs="Times New Roman"/>
          <w:sz w:val="24"/>
          <w:szCs w:val="24"/>
        </w:rPr>
        <w:t xml:space="preserve"> </w:t>
      </w:r>
      <w:r w:rsidRPr="006D3C51">
        <w:rPr>
          <w:rFonts w:ascii="Times New Roman" w:hAnsi="Times New Roman" w:cs="Times New Roman"/>
          <w:sz w:val="24"/>
          <w:szCs w:val="24"/>
        </w:rPr>
        <w:t>alcanza</w:t>
      </w:r>
      <w:r w:rsidR="009750C1" w:rsidRPr="006D3C51">
        <w:rPr>
          <w:rFonts w:ascii="Times New Roman" w:hAnsi="Times New Roman" w:cs="Times New Roman"/>
          <w:sz w:val="24"/>
          <w:szCs w:val="24"/>
        </w:rPr>
        <w:t>ban</w:t>
      </w:r>
      <w:r w:rsidRPr="006D3C51">
        <w:rPr>
          <w:rFonts w:ascii="Times New Roman" w:hAnsi="Times New Roman" w:cs="Times New Roman"/>
          <w:sz w:val="24"/>
          <w:szCs w:val="24"/>
        </w:rPr>
        <w:t xml:space="preserve"> </w:t>
      </w:r>
      <w:r w:rsidR="009750C1" w:rsidRPr="006D3C51">
        <w:rPr>
          <w:rFonts w:ascii="Times New Roman" w:hAnsi="Times New Roman" w:cs="Times New Roman"/>
          <w:sz w:val="24"/>
          <w:szCs w:val="24"/>
        </w:rPr>
        <w:t>“</w:t>
      </w:r>
      <w:r w:rsidRPr="006D3C51">
        <w:rPr>
          <w:rFonts w:ascii="Times New Roman" w:hAnsi="Times New Roman" w:cs="Times New Roman"/>
          <w:i/>
          <w:sz w:val="24"/>
          <w:szCs w:val="24"/>
        </w:rPr>
        <w:t xml:space="preserve">un grado de gravedad suficiente para ser tenido en cuenta a los efectos del artículo 8 </w:t>
      </w:r>
      <w:r w:rsidR="00C9273B" w:rsidRPr="006D3C51">
        <w:rPr>
          <w:rFonts w:ascii="Times New Roman" w:hAnsi="Times New Roman" w:cs="Times New Roman"/>
          <w:i/>
          <w:sz w:val="24"/>
          <w:szCs w:val="24"/>
        </w:rPr>
        <w:t>CEDH</w:t>
      </w:r>
      <w:r w:rsidR="00C9273B" w:rsidRPr="006D3C51">
        <w:rPr>
          <w:rFonts w:ascii="Times New Roman" w:hAnsi="Times New Roman" w:cs="Times New Roman"/>
          <w:sz w:val="24"/>
          <w:szCs w:val="24"/>
        </w:rPr>
        <w:t>”</w:t>
      </w:r>
      <w:r w:rsidR="00AA17B6" w:rsidRPr="006D3C51">
        <w:rPr>
          <w:rFonts w:ascii="Times New Roman" w:hAnsi="Times New Roman" w:cs="Times New Roman"/>
          <w:sz w:val="24"/>
          <w:szCs w:val="24"/>
        </w:rPr>
        <w:t xml:space="preserve"> (§ 63)</w:t>
      </w:r>
      <w:r w:rsidRPr="006D3C51">
        <w:rPr>
          <w:rFonts w:ascii="Times New Roman" w:hAnsi="Times New Roman" w:cs="Times New Roman"/>
          <w:sz w:val="24"/>
          <w:szCs w:val="24"/>
        </w:rPr>
        <w:t>.</w:t>
      </w:r>
    </w:p>
    <w:p w14:paraId="6354B94F" w14:textId="21AA93A4" w:rsidR="0041096D" w:rsidRPr="006D3C51" w:rsidRDefault="0041096D" w:rsidP="00781D53">
      <w:pPr>
        <w:spacing w:after="0" w:line="276" w:lineRule="auto"/>
        <w:jc w:val="both"/>
        <w:rPr>
          <w:rFonts w:ascii="Times New Roman" w:hAnsi="Times New Roman" w:cs="Times New Roman"/>
          <w:iCs/>
          <w:sz w:val="24"/>
          <w:szCs w:val="24"/>
        </w:rPr>
      </w:pPr>
      <w:r w:rsidRPr="006D3C51">
        <w:rPr>
          <w:rFonts w:ascii="Times New Roman" w:hAnsi="Times New Roman" w:cs="Times New Roman"/>
          <w:iCs/>
          <w:sz w:val="24"/>
          <w:szCs w:val="24"/>
        </w:rPr>
        <w:t>El caso</w:t>
      </w:r>
      <w:r w:rsidR="00A83508" w:rsidRPr="006D3C51">
        <w:rPr>
          <w:rFonts w:ascii="Times New Roman" w:hAnsi="Times New Roman" w:cs="Times New Roman"/>
          <w:iCs/>
          <w:sz w:val="24"/>
          <w:szCs w:val="24"/>
        </w:rPr>
        <w:t xml:space="preserve"> posterior,</w:t>
      </w:r>
      <w:r w:rsidRPr="006D3C51">
        <w:rPr>
          <w:rFonts w:ascii="Times New Roman" w:hAnsi="Times New Roman" w:cs="Times New Roman"/>
          <w:iCs/>
          <w:sz w:val="24"/>
          <w:szCs w:val="24"/>
        </w:rPr>
        <w:t xml:space="preserve"> resuelto por el TEDH el 22 de abril de 1997, asunto </w:t>
      </w:r>
      <w:r w:rsidRPr="00867D82">
        <w:rPr>
          <w:rFonts w:ascii="Times New Roman" w:hAnsi="Times New Roman" w:cs="Times New Roman"/>
          <w:i/>
          <w:iCs/>
          <w:sz w:val="24"/>
          <w:szCs w:val="24"/>
        </w:rPr>
        <w:t>X., Y. y Z. c. Reino Unido</w:t>
      </w:r>
      <w:r w:rsidR="00A83508" w:rsidRPr="006D3C51">
        <w:rPr>
          <w:rStyle w:val="Refdenotaalpie"/>
          <w:rFonts w:ascii="Times New Roman" w:hAnsi="Times New Roman" w:cs="Times New Roman"/>
          <w:iCs/>
          <w:sz w:val="24"/>
          <w:szCs w:val="24"/>
        </w:rPr>
        <w:footnoteReference w:id="17"/>
      </w:r>
      <w:r w:rsidR="00C40446">
        <w:rPr>
          <w:rFonts w:ascii="Times New Roman" w:hAnsi="Times New Roman" w:cs="Times New Roman"/>
          <w:iCs/>
          <w:sz w:val="24"/>
          <w:szCs w:val="24"/>
        </w:rPr>
        <w:t>,</w:t>
      </w:r>
      <w:r w:rsidRPr="006D3C51">
        <w:rPr>
          <w:rFonts w:ascii="Times New Roman" w:hAnsi="Times New Roman" w:cs="Times New Roman"/>
          <w:iCs/>
          <w:sz w:val="24"/>
          <w:szCs w:val="24"/>
        </w:rPr>
        <w:t xml:space="preserve"> no concierne directamente a un asunto sobre el reconocimiento de la identidad sexual de las personas transexuales, pero es oportuno mencionar algunas consideraciones de la Corte de Estrasburgo para dejar constancia de l</w:t>
      </w:r>
      <w:r w:rsidR="00F9323E" w:rsidRPr="006D3C51">
        <w:rPr>
          <w:rFonts w:ascii="Times New Roman" w:hAnsi="Times New Roman" w:cs="Times New Roman"/>
          <w:iCs/>
          <w:sz w:val="24"/>
          <w:szCs w:val="24"/>
        </w:rPr>
        <w:t>a opinión prevalente sobre la condición de las personas transexuales en aquellos años</w:t>
      </w:r>
      <w:r w:rsidR="00A83508" w:rsidRPr="006D3C51">
        <w:rPr>
          <w:rFonts w:ascii="Times New Roman" w:hAnsi="Times New Roman" w:cs="Times New Roman"/>
          <w:iCs/>
          <w:sz w:val="24"/>
          <w:szCs w:val="24"/>
        </w:rPr>
        <w:t>, que demuestran lo poco consolidado que fue el primer avance obtenido con la sentencia de 1992 ahora analizada.</w:t>
      </w:r>
    </w:p>
    <w:p w14:paraId="2D3A3D6A" w14:textId="0EF8FD4A" w:rsidR="00D42261" w:rsidRPr="006D3C51" w:rsidRDefault="00447074"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iCs/>
          <w:sz w:val="24"/>
          <w:szCs w:val="24"/>
        </w:rPr>
        <w:t>X.</w:t>
      </w:r>
      <w:r w:rsidRPr="006D3C51">
        <w:rPr>
          <w:rFonts w:ascii="Times New Roman" w:hAnsi="Times New Roman" w:cs="Times New Roman"/>
          <w:sz w:val="24"/>
          <w:szCs w:val="24"/>
        </w:rPr>
        <w:t>, un transexual que nació con el sexo biológico femenino, vivía en una unión estable con </w:t>
      </w:r>
      <w:r w:rsidRPr="006D3C51">
        <w:rPr>
          <w:rFonts w:ascii="Times New Roman" w:hAnsi="Times New Roman" w:cs="Times New Roman"/>
          <w:iCs/>
          <w:sz w:val="24"/>
          <w:szCs w:val="24"/>
        </w:rPr>
        <w:t>Y.</w:t>
      </w:r>
      <w:r w:rsidRPr="006D3C51">
        <w:rPr>
          <w:rFonts w:ascii="Times New Roman" w:hAnsi="Times New Roman" w:cs="Times New Roman"/>
          <w:sz w:val="24"/>
          <w:szCs w:val="24"/>
        </w:rPr>
        <w:t>, una mujer, que dio a luz a </w:t>
      </w:r>
      <w:r w:rsidRPr="006D3C51">
        <w:rPr>
          <w:rFonts w:ascii="Times New Roman" w:hAnsi="Times New Roman" w:cs="Times New Roman"/>
          <w:iCs/>
          <w:sz w:val="24"/>
          <w:szCs w:val="24"/>
        </w:rPr>
        <w:t>Z., </w:t>
      </w:r>
      <w:r w:rsidRPr="006D3C51">
        <w:rPr>
          <w:rFonts w:ascii="Times New Roman" w:hAnsi="Times New Roman" w:cs="Times New Roman"/>
          <w:sz w:val="24"/>
          <w:szCs w:val="24"/>
        </w:rPr>
        <w:t>nacid</w:t>
      </w:r>
      <w:r w:rsidR="00C22524" w:rsidRPr="006D3C51">
        <w:rPr>
          <w:rFonts w:ascii="Times New Roman" w:hAnsi="Times New Roman" w:cs="Times New Roman"/>
          <w:sz w:val="24"/>
          <w:szCs w:val="24"/>
        </w:rPr>
        <w:t>a</w:t>
      </w:r>
      <w:r w:rsidRPr="006D3C51">
        <w:rPr>
          <w:rFonts w:ascii="Times New Roman" w:hAnsi="Times New Roman" w:cs="Times New Roman"/>
          <w:sz w:val="24"/>
          <w:szCs w:val="24"/>
        </w:rPr>
        <w:t xml:space="preserve"> como resultado de una inseminación artificial realizada por un donante externo a la pareja X. </w:t>
      </w:r>
      <w:proofErr w:type="spellStart"/>
      <w:r w:rsidRPr="006D3C51">
        <w:rPr>
          <w:rFonts w:ascii="Times New Roman" w:hAnsi="Times New Roman" w:cs="Times New Roman"/>
          <w:sz w:val="24"/>
          <w:szCs w:val="24"/>
        </w:rPr>
        <w:t>e</w:t>
      </w:r>
      <w:proofErr w:type="spellEnd"/>
      <w:r w:rsidRPr="006D3C51">
        <w:rPr>
          <w:rFonts w:ascii="Times New Roman" w:hAnsi="Times New Roman" w:cs="Times New Roman"/>
          <w:sz w:val="24"/>
          <w:szCs w:val="24"/>
        </w:rPr>
        <w:t xml:space="preserve"> Y. </w:t>
      </w:r>
    </w:p>
    <w:p w14:paraId="3450AE14" w14:textId="0826D666" w:rsidR="009071EE" w:rsidRDefault="00D42261"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El TEDH concluyó que la circunstancia de que </w:t>
      </w:r>
      <w:r w:rsidR="00447074" w:rsidRPr="006D3C51">
        <w:rPr>
          <w:rFonts w:ascii="Times New Roman" w:hAnsi="Times New Roman" w:cs="Times New Roman"/>
          <w:sz w:val="24"/>
          <w:szCs w:val="24"/>
        </w:rPr>
        <w:t>la legislación</w:t>
      </w:r>
      <w:r w:rsidRPr="006D3C51">
        <w:rPr>
          <w:rFonts w:ascii="Times New Roman" w:hAnsi="Times New Roman" w:cs="Times New Roman"/>
          <w:sz w:val="24"/>
          <w:szCs w:val="24"/>
        </w:rPr>
        <w:t xml:space="preserve"> nacional</w:t>
      </w:r>
      <w:r w:rsidR="00447074" w:rsidRPr="006D3C51">
        <w:rPr>
          <w:rFonts w:ascii="Times New Roman" w:hAnsi="Times New Roman" w:cs="Times New Roman"/>
          <w:sz w:val="24"/>
          <w:szCs w:val="24"/>
        </w:rPr>
        <w:t xml:space="preserve"> no reconoc</w:t>
      </w:r>
      <w:r w:rsidRPr="006D3C51">
        <w:rPr>
          <w:rFonts w:ascii="Times New Roman" w:hAnsi="Times New Roman" w:cs="Times New Roman"/>
          <w:sz w:val="24"/>
          <w:szCs w:val="24"/>
        </w:rPr>
        <w:t>iera legalmente a X.</w:t>
      </w:r>
      <w:r w:rsidR="00447074" w:rsidRPr="006D3C51">
        <w:rPr>
          <w:rFonts w:ascii="Times New Roman" w:hAnsi="Times New Roman" w:cs="Times New Roman"/>
          <w:sz w:val="24"/>
          <w:szCs w:val="24"/>
        </w:rPr>
        <w:t xml:space="preserve"> como padre de</w:t>
      </w:r>
      <w:r w:rsidR="00D816F0" w:rsidRPr="006D3C51">
        <w:rPr>
          <w:rFonts w:ascii="Times New Roman" w:hAnsi="Times New Roman" w:cs="Times New Roman"/>
          <w:sz w:val="24"/>
          <w:szCs w:val="24"/>
        </w:rPr>
        <w:t xml:space="preserve"> </w:t>
      </w:r>
      <w:r w:rsidR="00447074" w:rsidRPr="006D3C51">
        <w:rPr>
          <w:rFonts w:ascii="Times New Roman" w:hAnsi="Times New Roman" w:cs="Times New Roman"/>
          <w:sz w:val="24"/>
          <w:szCs w:val="24"/>
        </w:rPr>
        <w:t>l</w:t>
      </w:r>
      <w:r w:rsidR="00D816F0" w:rsidRPr="006D3C51">
        <w:rPr>
          <w:rFonts w:ascii="Times New Roman" w:hAnsi="Times New Roman" w:cs="Times New Roman"/>
          <w:sz w:val="24"/>
          <w:szCs w:val="24"/>
        </w:rPr>
        <w:t>a</w:t>
      </w:r>
      <w:r w:rsidR="00447074" w:rsidRPr="006D3C51">
        <w:rPr>
          <w:rFonts w:ascii="Times New Roman" w:hAnsi="Times New Roman" w:cs="Times New Roman"/>
          <w:sz w:val="24"/>
          <w:szCs w:val="24"/>
        </w:rPr>
        <w:t xml:space="preserve"> mism</w:t>
      </w:r>
      <w:r w:rsidR="00D816F0" w:rsidRPr="006D3C51">
        <w:rPr>
          <w:rFonts w:ascii="Times New Roman" w:hAnsi="Times New Roman" w:cs="Times New Roman"/>
          <w:sz w:val="24"/>
          <w:szCs w:val="24"/>
        </w:rPr>
        <w:t>a</w:t>
      </w:r>
      <w:r w:rsidR="00447074" w:rsidRPr="006D3C51">
        <w:rPr>
          <w:rFonts w:ascii="Times New Roman" w:hAnsi="Times New Roman" w:cs="Times New Roman"/>
          <w:sz w:val="24"/>
          <w:szCs w:val="24"/>
        </w:rPr>
        <w:t xml:space="preserve">, </w:t>
      </w:r>
      <w:r w:rsidRPr="006D3C51">
        <w:rPr>
          <w:rFonts w:ascii="Times New Roman" w:hAnsi="Times New Roman" w:cs="Times New Roman"/>
          <w:sz w:val="24"/>
          <w:szCs w:val="24"/>
        </w:rPr>
        <w:t>no</w:t>
      </w:r>
      <w:r w:rsidR="00447074" w:rsidRPr="006D3C51">
        <w:rPr>
          <w:rFonts w:ascii="Times New Roman" w:hAnsi="Times New Roman" w:cs="Times New Roman"/>
          <w:sz w:val="24"/>
          <w:szCs w:val="24"/>
        </w:rPr>
        <w:t xml:space="preserve"> comportaba una violación del art. 8 CEDH</w:t>
      </w:r>
      <w:r w:rsidR="00D816F0" w:rsidRPr="006D3C51">
        <w:rPr>
          <w:rStyle w:val="Refdenotaalpie"/>
          <w:rFonts w:ascii="Times New Roman" w:hAnsi="Times New Roman" w:cs="Times New Roman"/>
          <w:sz w:val="24"/>
          <w:szCs w:val="24"/>
        </w:rPr>
        <w:footnoteReference w:id="18"/>
      </w:r>
      <w:r w:rsidR="00C40446">
        <w:rPr>
          <w:rFonts w:ascii="Times New Roman" w:hAnsi="Times New Roman" w:cs="Times New Roman"/>
          <w:sz w:val="24"/>
          <w:szCs w:val="24"/>
        </w:rPr>
        <w:t>.</w:t>
      </w:r>
      <w:r w:rsidRPr="006D3C51">
        <w:rPr>
          <w:rFonts w:ascii="Times New Roman" w:hAnsi="Times New Roman" w:cs="Times New Roman"/>
          <w:sz w:val="24"/>
          <w:szCs w:val="24"/>
        </w:rPr>
        <w:t xml:space="preserve"> </w:t>
      </w:r>
      <w:r w:rsidR="009071EE" w:rsidRPr="006D3C51">
        <w:rPr>
          <w:rFonts w:ascii="Times New Roman" w:hAnsi="Times New Roman" w:cs="Times New Roman"/>
          <w:sz w:val="24"/>
          <w:szCs w:val="24"/>
        </w:rPr>
        <w:t>E</w:t>
      </w:r>
      <w:r w:rsidRPr="006D3C51">
        <w:rPr>
          <w:rFonts w:ascii="Times New Roman" w:hAnsi="Times New Roman" w:cs="Times New Roman"/>
          <w:sz w:val="24"/>
          <w:szCs w:val="24"/>
        </w:rPr>
        <w:t>n particular, sorprende especialmente que el Tribunal Europeo haya decidido proporciona</w:t>
      </w:r>
      <w:r w:rsidR="005C5BB8">
        <w:rPr>
          <w:rFonts w:ascii="Times New Roman" w:hAnsi="Times New Roman" w:cs="Times New Roman"/>
          <w:sz w:val="24"/>
          <w:szCs w:val="24"/>
        </w:rPr>
        <w:t>r</w:t>
      </w:r>
      <w:r w:rsidRPr="006D3C51">
        <w:rPr>
          <w:rFonts w:ascii="Times New Roman" w:hAnsi="Times New Roman" w:cs="Times New Roman"/>
          <w:sz w:val="24"/>
          <w:szCs w:val="24"/>
        </w:rPr>
        <w:t xml:space="preserve"> una interpretación del interés superior </w:t>
      </w:r>
      <w:proofErr w:type="gramStart"/>
      <w:r w:rsidRPr="006D3C51">
        <w:rPr>
          <w:rFonts w:ascii="Times New Roman" w:hAnsi="Times New Roman" w:cs="Times New Roman"/>
          <w:sz w:val="24"/>
          <w:szCs w:val="24"/>
        </w:rPr>
        <w:t>del menor especialmente discriminatoria</w:t>
      </w:r>
      <w:proofErr w:type="gramEnd"/>
      <w:r w:rsidR="00CD2B8C">
        <w:rPr>
          <w:rFonts w:ascii="Times New Roman" w:hAnsi="Times New Roman" w:cs="Times New Roman"/>
          <w:sz w:val="24"/>
          <w:szCs w:val="24"/>
        </w:rPr>
        <w:t xml:space="preserve"> </w:t>
      </w:r>
      <w:r w:rsidRPr="006D3C51">
        <w:rPr>
          <w:rFonts w:ascii="Times New Roman" w:hAnsi="Times New Roman" w:cs="Times New Roman"/>
          <w:sz w:val="24"/>
          <w:szCs w:val="24"/>
        </w:rPr>
        <w:t xml:space="preserve">respecto de las personas transexuales. En efecto, en opinión del TEDH, </w:t>
      </w:r>
      <w:r w:rsidR="009071EE" w:rsidRPr="006D3C51">
        <w:rPr>
          <w:rFonts w:ascii="Times New Roman" w:hAnsi="Times New Roman" w:cs="Times New Roman"/>
          <w:sz w:val="24"/>
          <w:szCs w:val="24"/>
        </w:rPr>
        <w:t>no resulta</w:t>
      </w:r>
      <w:r w:rsidR="005C5BB8">
        <w:rPr>
          <w:rFonts w:ascii="Times New Roman" w:hAnsi="Times New Roman" w:cs="Times New Roman"/>
          <w:sz w:val="24"/>
          <w:szCs w:val="24"/>
        </w:rPr>
        <w:t>ba</w:t>
      </w:r>
      <w:r w:rsidR="009071EE" w:rsidRPr="006D3C51">
        <w:rPr>
          <w:rFonts w:ascii="Times New Roman" w:hAnsi="Times New Roman" w:cs="Times New Roman"/>
          <w:sz w:val="24"/>
          <w:szCs w:val="24"/>
        </w:rPr>
        <w:t xml:space="preserve"> evidente que el reconocimiento legal de X., transexual, como padre de Z. fuera una situación favorable para la niña u otros menores en las mismas condiciones. Por tanto, </w:t>
      </w:r>
      <w:r w:rsidR="00D24C80" w:rsidRPr="006D3C51">
        <w:rPr>
          <w:rFonts w:ascii="Times New Roman" w:hAnsi="Times New Roman" w:cs="Times New Roman"/>
          <w:sz w:val="24"/>
          <w:szCs w:val="24"/>
        </w:rPr>
        <w:t>fue</w:t>
      </w:r>
      <w:r w:rsidR="009071EE" w:rsidRPr="006D3C51">
        <w:rPr>
          <w:rFonts w:ascii="Times New Roman" w:hAnsi="Times New Roman" w:cs="Times New Roman"/>
          <w:sz w:val="24"/>
          <w:szCs w:val="24"/>
        </w:rPr>
        <w:t xml:space="preserve"> legítimo considerar que estuviera dentro del interés de la sociedad preservar la coherencia de un conjunto de normas del Derecho de familia y que el Reino Unido mostrara “cierta cautela” en reformar su legislación en un sentido favorable a las pretensiones de las </w:t>
      </w:r>
      <w:r w:rsidR="0069641B">
        <w:rPr>
          <w:rFonts w:ascii="Times New Roman" w:hAnsi="Times New Roman" w:cs="Times New Roman"/>
          <w:sz w:val="24"/>
          <w:szCs w:val="24"/>
        </w:rPr>
        <w:t xml:space="preserve">respectivas </w:t>
      </w:r>
      <w:r w:rsidR="009071EE" w:rsidRPr="006D3C51">
        <w:rPr>
          <w:rFonts w:ascii="Times New Roman" w:hAnsi="Times New Roman" w:cs="Times New Roman"/>
          <w:sz w:val="24"/>
          <w:szCs w:val="24"/>
        </w:rPr>
        <w:t xml:space="preserve">parejas de los progenitores naturales de los menores, en particular cuando </w:t>
      </w:r>
      <w:r w:rsidR="00D24C80" w:rsidRPr="006D3C51">
        <w:rPr>
          <w:rFonts w:ascii="Times New Roman" w:hAnsi="Times New Roman" w:cs="Times New Roman"/>
          <w:sz w:val="24"/>
          <w:szCs w:val="24"/>
        </w:rPr>
        <w:t xml:space="preserve">sea un transexual quien pudiera convertirse en “padre” desde el punto </w:t>
      </w:r>
      <w:r w:rsidR="00D24C80" w:rsidRPr="006D3C51">
        <w:rPr>
          <w:rFonts w:ascii="Times New Roman" w:hAnsi="Times New Roman" w:cs="Times New Roman"/>
          <w:sz w:val="24"/>
          <w:szCs w:val="24"/>
        </w:rPr>
        <w:lastRenderedPageBreak/>
        <w:t>de vista legal</w:t>
      </w:r>
      <w:r w:rsidR="00A83508" w:rsidRPr="006D3C51">
        <w:rPr>
          <w:rFonts w:ascii="Times New Roman" w:hAnsi="Times New Roman" w:cs="Times New Roman"/>
          <w:sz w:val="24"/>
          <w:szCs w:val="24"/>
        </w:rPr>
        <w:t xml:space="preserve"> (§ 47)</w:t>
      </w:r>
      <w:r w:rsidR="0045287F" w:rsidRPr="006D3C51">
        <w:rPr>
          <w:rStyle w:val="Refdenotaalpie"/>
          <w:rFonts w:ascii="Times New Roman" w:hAnsi="Times New Roman" w:cs="Times New Roman"/>
          <w:sz w:val="24"/>
          <w:szCs w:val="24"/>
        </w:rPr>
        <w:footnoteReference w:id="19"/>
      </w:r>
      <w:r w:rsidR="00C40446">
        <w:rPr>
          <w:rFonts w:ascii="Times New Roman" w:hAnsi="Times New Roman" w:cs="Times New Roman"/>
          <w:sz w:val="24"/>
          <w:szCs w:val="24"/>
        </w:rPr>
        <w:t>.</w:t>
      </w:r>
      <w:r w:rsidR="00D24C80" w:rsidRPr="006D3C51">
        <w:rPr>
          <w:rFonts w:ascii="Times New Roman" w:hAnsi="Times New Roman" w:cs="Times New Roman"/>
          <w:sz w:val="24"/>
          <w:szCs w:val="24"/>
        </w:rPr>
        <w:t xml:space="preserve"> </w:t>
      </w:r>
      <w:r w:rsidR="00CD2B8C">
        <w:rPr>
          <w:rFonts w:ascii="Times New Roman" w:hAnsi="Times New Roman" w:cs="Times New Roman"/>
          <w:sz w:val="24"/>
          <w:szCs w:val="24"/>
        </w:rPr>
        <w:t>Estas afirmaciones dem</w:t>
      </w:r>
      <w:r w:rsidR="008906AC">
        <w:rPr>
          <w:rFonts w:ascii="Times New Roman" w:hAnsi="Times New Roman" w:cs="Times New Roman"/>
          <w:sz w:val="24"/>
          <w:szCs w:val="24"/>
        </w:rPr>
        <w:t>uestran</w:t>
      </w:r>
      <w:r w:rsidR="00CD2B8C">
        <w:rPr>
          <w:rFonts w:ascii="Times New Roman" w:hAnsi="Times New Roman" w:cs="Times New Roman"/>
          <w:sz w:val="24"/>
          <w:szCs w:val="24"/>
        </w:rPr>
        <w:t xml:space="preserve"> que el TEDH seguía manteniendo</w:t>
      </w:r>
      <w:r w:rsidR="008906AC">
        <w:rPr>
          <w:rFonts w:ascii="Times New Roman" w:hAnsi="Times New Roman" w:cs="Times New Roman"/>
          <w:sz w:val="24"/>
          <w:szCs w:val="24"/>
        </w:rPr>
        <w:t xml:space="preserve"> (y en la actualidad, a veces, sigue haciéndolo)</w:t>
      </w:r>
      <w:r w:rsidR="00CD2B8C">
        <w:rPr>
          <w:rFonts w:ascii="Times New Roman" w:hAnsi="Times New Roman" w:cs="Times New Roman"/>
          <w:sz w:val="24"/>
          <w:szCs w:val="24"/>
        </w:rPr>
        <w:t xml:space="preserve"> una visión muy clásica y arcaica de las relaciones paterno-filia</w:t>
      </w:r>
      <w:r w:rsidR="001B12B4">
        <w:rPr>
          <w:rFonts w:ascii="Times New Roman" w:hAnsi="Times New Roman" w:cs="Times New Roman"/>
          <w:sz w:val="24"/>
          <w:szCs w:val="24"/>
        </w:rPr>
        <w:t>l</w:t>
      </w:r>
      <w:bookmarkStart w:id="10" w:name="_GoBack"/>
      <w:bookmarkEnd w:id="10"/>
      <w:r w:rsidR="00CD2B8C">
        <w:rPr>
          <w:rFonts w:ascii="Times New Roman" w:hAnsi="Times New Roman" w:cs="Times New Roman"/>
          <w:sz w:val="24"/>
          <w:szCs w:val="24"/>
        </w:rPr>
        <w:t xml:space="preserve">es, anclada al concepto de familia tradicional, que en muchas ocasiones puede entrar en conflicto con la efectiva protección de las personas que forman parte de los distintos y concretos núcleos familiares, incluidos los menores. </w:t>
      </w:r>
    </w:p>
    <w:p w14:paraId="5FA88E00" w14:textId="106A441D" w:rsidR="0068413E" w:rsidRPr="006D3C51" w:rsidRDefault="00D31D6C" w:rsidP="00781D53">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 xml:space="preserve">Posteriormente encontramos el caso de </w:t>
      </w:r>
      <w:r w:rsidR="00A535B2" w:rsidRPr="006D3C51">
        <w:rPr>
          <w:rFonts w:ascii="Times New Roman" w:hAnsi="Times New Roman" w:cs="Times New Roman"/>
          <w:iCs/>
          <w:sz w:val="24"/>
          <w:szCs w:val="24"/>
        </w:rPr>
        <w:t xml:space="preserve">Sheffield y </w:t>
      </w:r>
      <w:proofErr w:type="spellStart"/>
      <w:r w:rsidR="00A535B2" w:rsidRPr="006D3C51">
        <w:rPr>
          <w:rFonts w:ascii="Times New Roman" w:hAnsi="Times New Roman" w:cs="Times New Roman"/>
          <w:iCs/>
          <w:sz w:val="24"/>
          <w:szCs w:val="24"/>
        </w:rPr>
        <w:t>Horsham</w:t>
      </w:r>
      <w:proofErr w:type="spellEnd"/>
      <w:r w:rsidR="006179BA" w:rsidRPr="006D3C51">
        <w:rPr>
          <w:rFonts w:ascii="Times New Roman" w:hAnsi="Times New Roman" w:cs="Times New Roman"/>
          <w:iCs/>
          <w:sz w:val="24"/>
          <w:szCs w:val="24"/>
        </w:rPr>
        <w:t xml:space="preserve">, demandantes en el asunto </w:t>
      </w:r>
      <w:r w:rsidR="006179BA" w:rsidRPr="00781D53">
        <w:rPr>
          <w:rFonts w:ascii="Times New Roman" w:hAnsi="Times New Roman" w:cs="Times New Roman"/>
          <w:i/>
          <w:iCs/>
          <w:sz w:val="24"/>
          <w:szCs w:val="24"/>
        </w:rPr>
        <w:t xml:space="preserve">Sheffield &amp; </w:t>
      </w:r>
      <w:proofErr w:type="spellStart"/>
      <w:r w:rsidR="006179BA" w:rsidRPr="00781D53">
        <w:rPr>
          <w:rFonts w:ascii="Times New Roman" w:hAnsi="Times New Roman" w:cs="Times New Roman"/>
          <w:i/>
          <w:iCs/>
          <w:sz w:val="24"/>
          <w:szCs w:val="24"/>
        </w:rPr>
        <w:t>Horsham</w:t>
      </w:r>
      <w:proofErr w:type="spellEnd"/>
      <w:r w:rsidR="006179BA" w:rsidRPr="00781D53">
        <w:rPr>
          <w:rFonts w:ascii="Times New Roman" w:hAnsi="Times New Roman" w:cs="Times New Roman"/>
          <w:i/>
          <w:iCs/>
          <w:sz w:val="24"/>
          <w:szCs w:val="24"/>
        </w:rPr>
        <w:t xml:space="preserve"> v. </w:t>
      </w:r>
      <w:proofErr w:type="spellStart"/>
      <w:r w:rsidR="006179BA" w:rsidRPr="00781D53">
        <w:rPr>
          <w:rFonts w:ascii="Times New Roman" w:hAnsi="Times New Roman" w:cs="Times New Roman"/>
          <w:i/>
          <w:iCs/>
          <w:sz w:val="24"/>
          <w:szCs w:val="24"/>
        </w:rPr>
        <w:t>The</w:t>
      </w:r>
      <w:proofErr w:type="spellEnd"/>
      <w:r w:rsidR="006179BA" w:rsidRPr="00781D53">
        <w:rPr>
          <w:rFonts w:ascii="Times New Roman" w:hAnsi="Times New Roman" w:cs="Times New Roman"/>
          <w:i/>
          <w:iCs/>
          <w:sz w:val="24"/>
          <w:szCs w:val="24"/>
        </w:rPr>
        <w:t xml:space="preserve"> </w:t>
      </w:r>
      <w:proofErr w:type="spellStart"/>
      <w:r w:rsidR="006179BA" w:rsidRPr="00781D53">
        <w:rPr>
          <w:rFonts w:ascii="Times New Roman" w:hAnsi="Times New Roman" w:cs="Times New Roman"/>
          <w:i/>
          <w:iCs/>
          <w:sz w:val="24"/>
          <w:szCs w:val="24"/>
        </w:rPr>
        <w:t>United</w:t>
      </w:r>
      <w:proofErr w:type="spellEnd"/>
      <w:r w:rsidR="006179BA" w:rsidRPr="00781D53">
        <w:rPr>
          <w:rFonts w:ascii="Times New Roman" w:hAnsi="Times New Roman" w:cs="Times New Roman"/>
          <w:i/>
          <w:iCs/>
          <w:sz w:val="24"/>
          <w:szCs w:val="24"/>
        </w:rPr>
        <w:t xml:space="preserve"> </w:t>
      </w:r>
      <w:proofErr w:type="spellStart"/>
      <w:r w:rsidR="006179BA" w:rsidRPr="00781D53">
        <w:rPr>
          <w:rFonts w:ascii="Times New Roman" w:hAnsi="Times New Roman" w:cs="Times New Roman"/>
          <w:i/>
          <w:iCs/>
          <w:sz w:val="24"/>
          <w:szCs w:val="24"/>
        </w:rPr>
        <w:t>Kingdom</w:t>
      </w:r>
      <w:proofErr w:type="spellEnd"/>
      <w:r w:rsidR="006179BA" w:rsidRPr="006D3C51">
        <w:rPr>
          <w:rFonts w:ascii="Times New Roman" w:hAnsi="Times New Roman" w:cs="Times New Roman"/>
          <w:b/>
          <w:iCs/>
          <w:sz w:val="24"/>
          <w:szCs w:val="24"/>
        </w:rPr>
        <w:t xml:space="preserve">, </w:t>
      </w:r>
      <w:r w:rsidR="006179BA" w:rsidRPr="006D3C51">
        <w:rPr>
          <w:rFonts w:ascii="Times New Roman" w:hAnsi="Times New Roman" w:cs="Times New Roman"/>
          <w:iCs/>
          <w:sz w:val="24"/>
          <w:szCs w:val="24"/>
        </w:rPr>
        <w:t>resuelto el 30 de julio de 1998</w:t>
      </w:r>
      <w:r w:rsidR="006179BA" w:rsidRPr="006D3C51">
        <w:rPr>
          <w:rStyle w:val="Refdenotaalpie"/>
          <w:rFonts w:ascii="Times New Roman" w:hAnsi="Times New Roman" w:cs="Times New Roman"/>
          <w:iCs/>
          <w:sz w:val="24"/>
          <w:szCs w:val="24"/>
        </w:rPr>
        <w:footnoteReference w:id="20"/>
      </w:r>
      <w:r>
        <w:rPr>
          <w:rFonts w:ascii="Times New Roman" w:hAnsi="Times New Roman" w:cs="Times New Roman"/>
          <w:iCs/>
          <w:sz w:val="24"/>
          <w:szCs w:val="24"/>
        </w:rPr>
        <w:t>,</w:t>
      </w:r>
      <w:r w:rsidR="006179BA" w:rsidRPr="006D3C51">
        <w:rPr>
          <w:rFonts w:ascii="Times New Roman" w:hAnsi="Times New Roman" w:cs="Times New Roman"/>
          <w:iCs/>
          <w:sz w:val="24"/>
          <w:szCs w:val="24"/>
        </w:rPr>
        <w:t> </w:t>
      </w:r>
      <w:r w:rsidR="00A535B2" w:rsidRPr="006D3C51">
        <w:rPr>
          <w:rFonts w:ascii="Times New Roman" w:hAnsi="Times New Roman" w:cs="Times New Roman"/>
          <w:iCs/>
          <w:sz w:val="24"/>
          <w:szCs w:val="24"/>
        </w:rPr>
        <w:t xml:space="preserve"> dos mujeres transexuales inglesas que, nacidas con el sexo biológico masculino, se sometieron a operaciones totales de rectificación del sexo. Pudieron cambiar su nombre y sexo en la mayoría de los documentos, pero no (como en los casos </w:t>
      </w:r>
      <w:proofErr w:type="spellStart"/>
      <w:r w:rsidR="00A535B2" w:rsidRPr="006D3C51">
        <w:rPr>
          <w:rFonts w:ascii="Times New Roman" w:hAnsi="Times New Roman" w:cs="Times New Roman"/>
          <w:i/>
          <w:iCs/>
          <w:sz w:val="24"/>
          <w:szCs w:val="24"/>
        </w:rPr>
        <w:t>Rees</w:t>
      </w:r>
      <w:proofErr w:type="spellEnd"/>
      <w:r w:rsidR="00A535B2" w:rsidRPr="006D3C51">
        <w:rPr>
          <w:rFonts w:ascii="Times New Roman" w:hAnsi="Times New Roman" w:cs="Times New Roman"/>
          <w:iCs/>
          <w:sz w:val="24"/>
          <w:szCs w:val="24"/>
        </w:rPr>
        <w:t xml:space="preserve"> y </w:t>
      </w:r>
      <w:proofErr w:type="spellStart"/>
      <w:r w:rsidR="00A535B2" w:rsidRPr="006D3C51">
        <w:rPr>
          <w:rFonts w:ascii="Times New Roman" w:hAnsi="Times New Roman" w:cs="Times New Roman"/>
          <w:i/>
          <w:iCs/>
          <w:sz w:val="24"/>
          <w:szCs w:val="24"/>
        </w:rPr>
        <w:t>Cossey</w:t>
      </w:r>
      <w:proofErr w:type="spellEnd"/>
      <w:r w:rsidR="00A535B2" w:rsidRPr="006D3C51">
        <w:rPr>
          <w:rFonts w:ascii="Times New Roman" w:hAnsi="Times New Roman" w:cs="Times New Roman"/>
          <w:iCs/>
          <w:sz w:val="24"/>
          <w:szCs w:val="24"/>
        </w:rPr>
        <w:t xml:space="preserve">) en su partida de nacimiento, dado que la ley inglesa aún no lo permitía. </w:t>
      </w:r>
    </w:p>
    <w:p w14:paraId="2A049046" w14:textId="60AE9FA8" w:rsidR="0001185F" w:rsidRPr="006D3C51" w:rsidRDefault="0068413E"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iCs/>
          <w:sz w:val="24"/>
          <w:szCs w:val="24"/>
        </w:rPr>
        <w:t>A</w:t>
      </w:r>
      <w:r w:rsidR="00A535B2" w:rsidRPr="006D3C51">
        <w:rPr>
          <w:rFonts w:ascii="Times New Roman" w:hAnsi="Times New Roman" w:cs="Times New Roman"/>
          <w:iCs/>
          <w:sz w:val="24"/>
          <w:szCs w:val="24"/>
        </w:rPr>
        <w:t>plicando su anterior jurisprudencia</w:t>
      </w:r>
      <w:r w:rsidR="006179BA" w:rsidRPr="006D3C51">
        <w:rPr>
          <w:rFonts w:ascii="Times New Roman" w:hAnsi="Times New Roman" w:cs="Times New Roman"/>
          <w:iCs/>
          <w:sz w:val="24"/>
          <w:szCs w:val="24"/>
        </w:rPr>
        <w:t xml:space="preserve"> (</w:t>
      </w:r>
      <w:r w:rsidR="00487EAB" w:rsidRPr="006D3C51">
        <w:rPr>
          <w:rFonts w:ascii="Times New Roman" w:hAnsi="Times New Roman" w:cs="Times New Roman"/>
          <w:iCs/>
          <w:sz w:val="24"/>
          <w:szCs w:val="24"/>
        </w:rPr>
        <w:t xml:space="preserve">pero </w:t>
      </w:r>
      <w:r w:rsidR="00AE038D" w:rsidRPr="006D3C51">
        <w:rPr>
          <w:rFonts w:ascii="Times New Roman" w:hAnsi="Times New Roman" w:cs="Times New Roman"/>
          <w:iCs/>
          <w:sz w:val="24"/>
          <w:szCs w:val="24"/>
        </w:rPr>
        <w:t>olvidándose completamente de</w:t>
      </w:r>
      <w:r w:rsidR="006179BA" w:rsidRPr="006D3C51">
        <w:rPr>
          <w:rFonts w:ascii="Times New Roman" w:hAnsi="Times New Roman" w:cs="Times New Roman"/>
          <w:iCs/>
          <w:sz w:val="24"/>
          <w:szCs w:val="24"/>
        </w:rPr>
        <w:t xml:space="preserve"> la sentencia sobre el caso</w:t>
      </w:r>
      <w:r w:rsidR="006179BA" w:rsidRPr="006D3C51">
        <w:rPr>
          <w:rFonts w:ascii="Times New Roman" w:hAnsi="Times New Roman" w:cs="Times New Roman"/>
          <w:b/>
          <w:i/>
          <w:iCs/>
          <w:sz w:val="24"/>
          <w:szCs w:val="24"/>
        </w:rPr>
        <w:t xml:space="preserve"> </w:t>
      </w:r>
      <w:r w:rsidR="006179BA" w:rsidRPr="006D3C51">
        <w:rPr>
          <w:rFonts w:ascii="Times New Roman" w:hAnsi="Times New Roman" w:cs="Times New Roman"/>
          <w:i/>
          <w:iCs/>
          <w:sz w:val="24"/>
          <w:szCs w:val="24"/>
        </w:rPr>
        <w:t>B. c. France</w:t>
      </w:r>
      <w:r w:rsidR="006179BA" w:rsidRPr="006D3C51">
        <w:rPr>
          <w:rFonts w:ascii="Times New Roman" w:hAnsi="Times New Roman" w:cs="Times New Roman"/>
          <w:iCs/>
          <w:sz w:val="24"/>
          <w:szCs w:val="24"/>
        </w:rPr>
        <w:t xml:space="preserve"> de 1992)</w:t>
      </w:r>
      <w:r w:rsidR="00A535B2" w:rsidRPr="006D3C51">
        <w:rPr>
          <w:rFonts w:ascii="Times New Roman" w:hAnsi="Times New Roman" w:cs="Times New Roman"/>
          <w:iCs/>
          <w:sz w:val="24"/>
          <w:szCs w:val="24"/>
        </w:rPr>
        <w:t>,</w:t>
      </w:r>
      <w:r w:rsidRPr="006D3C51">
        <w:rPr>
          <w:rFonts w:ascii="Times New Roman" w:hAnsi="Times New Roman" w:cs="Times New Roman"/>
          <w:iCs/>
          <w:sz w:val="24"/>
          <w:szCs w:val="24"/>
        </w:rPr>
        <w:t xml:space="preserve"> </w:t>
      </w:r>
      <w:r w:rsidR="00A535B2" w:rsidRPr="006D3C51">
        <w:rPr>
          <w:rFonts w:ascii="Times New Roman" w:hAnsi="Times New Roman" w:cs="Times New Roman"/>
          <w:iCs/>
          <w:sz w:val="24"/>
          <w:szCs w:val="24"/>
        </w:rPr>
        <w:t xml:space="preserve">el Tribunal Europeo </w:t>
      </w:r>
      <w:r w:rsidR="0094786F" w:rsidRPr="006D3C51">
        <w:rPr>
          <w:rFonts w:ascii="Times New Roman" w:hAnsi="Times New Roman" w:cs="Times New Roman"/>
          <w:iCs/>
          <w:sz w:val="24"/>
          <w:szCs w:val="24"/>
        </w:rPr>
        <w:t xml:space="preserve">estableció que la legislación del Reino Unido no infringía el Convenio. </w:t>
      </w:r>
      <w:r w:rsidRPr="006D3C51">
        <w:rPr>
          <w:rFonts w:ascii="Times New Roman" w:hAnsi="Times New Roman" w:cs="Times New Roman"/>
          <w:sz w:val="24"/>
          <w:szCs w:val="24"/>
        </w:rPr>
        <w:t>E</w:t>
      </w:r>
      <w:r w:rsidR="0001185F" w:rsidRPr="006D3C51">
        <w:rPr>
          <w:rFonts w:ascii="Times New Roman" w:hAnsi="Times New Roman" w:cs="Times New Roman"/>
          <w:sz w:val="24"/>
          <w:szCs w:val="24"/>
        </w:rPr>
        <w:t xml:space="preserve">l Tribunal no </w:t>
      </w:r>
      <w:r w:rsidR="005C5F24" w:rsidRPr="006D3C51">
        <w:rPr>
          <w:rFonts w:ascii="Times New Roman" w:hAnsi="Times New Roman" w:cs="Times New Roman"/>
          <w:sz w:val="24"/>
          <w:szCs w:val="24"/>
        </w:rPr>
        <w:t>encontró razones suficientes</w:t>
      </w:r>
      <w:r w:rsidRPr="006D3C51">
        <w:rPr>
          <w:rFonts w:ascii="Times New Roman" w:hAnsi="Times New Roman" w:cs="Times New Roman"/>
          <w:sz w:val="24"/>
          <w:szCs w:val="24"/>
        </w:rPr>
        <w:t xml:space="preserve">, ni </w:t>
      </w:r>
      <w:r w:rsidR="006179BA" w:rsidRPr="006D3C51">
        <w:rPr>
          <w:rFonts w:ascii="Times New Roman" w:hAnsi="Times New Roman" w:cs="Times New Roman"/>
          <w:sz w:val="24"/>
          <w:szCs w:val="24"/>
        </w:rPr>
        <w:t>respecto de los avances de la ciencia médica sobre el transexualismo, ni respecto de la evolución de las legislaciones de los Estados miembros,</w:t>
      </w:r>
      <w:r w:rsidR="005C5F24" w:rsidRPr="006D3C51">
        <w:rPr>
          <w:rFonts w:ascii="Times New Roman" w:hAnsi="Times New Roman" w:cs="Times New Roman"/>
          <w:sz w:val="24"/>
          <w:szCs w:val="24"/>
        </w:rPr>
        <w:t xml:space="preserve"> para</w:t>
      </w:r>
      <w:r w:rsidR="0001185F" w:rsidRPr="006D3C51">
        <w:rPr>
          <w:rFonts w:ascii="Times New Roman" w:hAnsi="Times New Roman" w:cs="Times New Roman"/>
          <w:sz w:val="24"/>
          <w:szCs w:val="24"/>
        </w:rPr>
        <w:t xml:space="preserve"> separarse de la jurisprudencia establecida en los asuntos anteriormente citados y </w:t>
      </w:r>
      <w:r w:rsidR="005C5F24" w:rsidRPr="006D3C51">
        <w:rPr>
          <w:rFonts w:ascii="Times New Roman" w:hAnsi="Times New Roman" w:cs="Times New Roman"/>
          <w:sz w:val="24"/>
          <w:szCs w:val="24"/>
        </w:rPr>
        <w:t>reducir el margen de apreciación d</w:t>
      </w:r>
      <w:r w:rsidR="0001185F" w:rsidRPr="006D3C51">
        <w:rPr>
          <w:rFonts w:ascii="Times New Roman" w:hAnsi="Times New Roman" w:cs="Times New Roman"/>
          <w:sz w:val="24"/>
          <w:szCs w:val="24"/>
        </w:rPr>
        <w:t>el Estado demandado</w:t>
      </w:r>
      <w:r w:rsidRPr="006D3C51">
        <w:rPr>
          <w:rFonts w:ascii="Times New Roman" w:hAnsi="Times New Roman" w:cs="Times New Roman"/>
          <w:sz w:val="24"/>
          <w:szCs w:val="24"/>
        </w:rPr>
        <w:t xml:space="preserve"> (</w:t>
      </w:r>
      <w:r w:rsidR="00B9640F" w:rsidRPr="006D3C51">
        <w:rPr>
          <w:rFonts w:ascii="Times New Roman" w:hAnsi="Times New Roman" w:cs="Times New Roman"/>
          <w:sz w:val="24"/>
          <w:szCs w:val="24"/>
        </w:rPr>
        <w:t>§§</w:t>
      </w:r>
      <w:r w:rsidR="00B9640F">
        <w:rPr>
          <w:rFonts w:ascii="Times New Roman" w:hAnsi="Times New Roman" w:cs="Times New Roman"/>
          <w:sz w:val="24"/>
          <w:szCs w:val="24"/>
        </w:rPr>
        <w:t xml:space="preserve"> </w:t>
      </w:r>
      <w:r w:rsidRPr="006D3C51">
        <w:rPr>
          <w:rFonts w:ascii="Times New Roman" w:hAnsi="Times New Roman" w:cs="Times New Roman"/>
          <w:sz w:val="24"/>
          <w:szCs w:val="24"/>
        </w:rPr>
        <w:t>55-58)</w:t>
      </w:r>
      <w:r w:rsidR="005C5F24" w:rsidRPr="006D3C51">
        <w:rPr>
          <w:rFonts w:ascii="Times New Roman" w:hAnsi="Times New Roman" w:cs="Times New Roman"/>
          <w:sz w:val="24"/>
          <w:szCs w:val="24"/>
        </w:rPr>
        <w:t xml:space="preserve">. </w:t>
      </w:r>
    </w:p>
    <w:p w14:paraId="594FAAD3" w14:textId="1320D906" w:rsidR="00507017" w:rsidRPr="006D3C51" w:rsidRDefault="00507017"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Una ultima afirmación del TEDH merece la pena de ser citada, para demostrar la escasa consideración que a </w:t>
      </w:r>
      <w:r w:rsidR="0068413E" w:rsidRPr="006D3C51">
        <w:rPr>
          <w:rFonts w:ascii="Times New Roman" w:hAnsi="Times New Roman" w:cs="Times New Roman"/>
          <w:sz w:val="24"/>
          <w:szCs w:val="24"/>
        </w:rPr>
        <w:t>finales</w:t>
      </w:r>
      <w:r w:rsidRPr="006D3C51">
        <w:rPr>
          <w:rFonts w:ascii="Times New Roman" w:hAnsi="Times New Roman" w:cs="Times New Roman"/>
          <w:sz w:val="24"/>
          <w:szCs w:val="24"/>
        </w:rPr>
        <w:t xml:space="preserve"> de los años ’90 todavía tenían las reivindicaciones de las personas trans: “</w:t>
      </w:r>
      <w:r w:rsidRPr="006D3C51">
        <w:rPr>
          <w:rFonts w:ascii="Times New Roman" w:hAnsi="Times New Roman" w:cs="Times New Roman"/>
          <w:i/>
          <w:sz w:val="24"/>
          <w:szCs w:val="24"/>
        </w:rPr>
        <w:t>el Tribunal no está convencido de que los inconvenientes sufridos por las recurrentes por verse obligadas a divulgar su antiguo sexo en ciertos casos tengan entidad suficiente para que quepa considerar que se excede el margen de apreciación de que dispone el Estado en esta materia. […] [D]</w:t>
      </w:r>
      <w:proofErr w:type="spellStart"/>
      <w:r w:rsidRPr="006D3C51">
        <w:rPr>
          <w:rFonts w:ascii="Times New Roman" w:hAnsi="Times New Roman" w:cs="Times New Roman"/>
          <w:i/>
          <w:sz w:val="24"/>
          <w:szCs w:val="24"/>
        </w:rPr>
        <w:t>ebe</w:t>
      </w:r>
      <w:proofErr w:type="spellEnd"/>
      <w:r w:rsidRPr="006D3C51">
        <w:rPr>
          <w:rFonts w:ascii="Times New Roman" w:hAnsi="Times New Roman" w:cs="Times New Roman"/>
          <w:i/>
          <w:sz w:val="24"/>
          <w:szCs w:val="24"/>
        </w:rPr>
        <w:t xml:space="preserve"> reconocerse que a veces puede haber buenas razones para invitar a una persona a proporcionar pruebas de su género o historial médico. […] [L]as situaciones en las que l</w:t>
      </w:r>
      <w:r w:rsidR="00634460" w:rsidRPr="006D3C51">
        <w:rPr>
          <w:rFonts w:ascii="Times New Roman" w:hAnsi="Times New Roman" w:cs="Times New Roman"/>
          <w:i/>
          <w:sz w:val="24"/>
          <w:szCs w:val="24"/>
        </w:rPr>
        <w:t>a</w:t>
      </w:r>
      <w:r w:rsidRPr="006D3C51">
        <w:rPr>
          <w:rFonts w:ascii="Times New Roman" w:hAnsi="Times New Roman" w:cs="Times New Roman"/>
          <w:i/>
          <w:sz w:val="24"/>
          <w:szCs w:val="24"/>
        </w:rPr>
        <w:t xml:space="preserve">s </w:t>
      </w:r>
      <w:r w:rsidR="00634460" w:rsidRPr="006D3C51">
        <w:rPr>
          <w:rFonts w:ascii="Times New Roman" w:hAnsi="Times New Roman" w:cs="Times New Roman"/>
          <w:i/>
          <w:sz w:val="24"/>
          <w:szCs w:val="24"/>
        </w:rPr>
        <w:t>demand</w:t>
      </w:r>
      <w:r w:rsidRPr="006D3C51">
        <w:rPr>
          <w:rFonts w:ascii="Times New Roman" w:hAnsi="Times New Roman" w:cs="Times New Roman"/>
          <w:i/>
          <w:sz w:val="24"/>
          <w:szCs w:val="24"/>
        </w:rPr>
        <w:t xml:space="preserve">antes pueden tener que revelar su sexo anterior no ocurren con tanta frecuencia </w:t>
      </w:r>
      <w:r w:rsidR="00634460" w:rsidRPr="006D3C51">
        <w:rPr>
          <w:rFonts w:ascii="Times New Roman" w:hAnsi="Times New Roman" w:cs="Times New Roman"/>
          <w:i/>
          <w:sz w:val="24"/>
          <w:szCs w:val="24"/>
        </w:rPr>
        <w:t xml:space="preserve">como para </w:t>
      </w:r>
      <w:r w:rsidRPr="006D3C51">
        <w:rPr>
          <w:rFonts w:ascii="Times New Roman" w:hAnsi="Times New Roman" w:cs="Times New Roman"/>
          <w:i/>
          <w:sz w:val="24"/>
          <w:szCs w:val="24"/>
        </w:rPr>
        <w:t xml:space="preserve">que se considere que constituyen una injerencia desproporcionada en los derechos de </w:t>
      </w:r>
      <w:r w:rsidR="00634460" w:rsidRPr="006D3C51">
        <w:rPr>
          <w:rFonts w:ascii="Times New Roman" w:hAnsi="Times New Roman" w:cs="Times New Roman"/>
          <w:i/>
          <w:sz w:val="24"/>
          <w:szCs w:val="24"/>
        </w:rPr>
        <w:t xml:space="preserve">estas </w:t>
      </w:r>
      <w:r w:rsidRPr="006D3C51">
        <w:rPr>
          <w:rFonts w:ascii="Times New Roman" w:hAnsi="Times New Roman" w:cs="Times New Roman"/>
          <w:i/>
          <w:sz w:val="24"/>
          <w:szCs w:val="24"/>
        </w:rPr>
        <w:t>al respeto de su vida privada</w:t>
      </w:r>
      <w:r w:rsidR="00634460" w:rsidRPr="006D3C51">
        <w:rPr>
          <w:rFonts w:ascii="Times New Roman" w:hAnsi="Times New Roman" w:cs="Times New Roman"/>
          <w:sz w:val="24"/>
          <w:szCs w:val="24"/>
        </w:rPr>
        <w:t>”</w:t>
      </w:r>
      <w:r w:rsidR="0068413E" w:rsidRPr="006D3C51">
        <w:rPr>
          <w:rFonts w:ascii="Times New Roman" w:hAnsi="Times New Roman" w:cs="Times New Roman"/>
          <w:sz w:val="24"/>
          <w:szCs w:val="24"/>
        </w:rPr>
        <w:t xml:space="preserve"> (</w:t>
      </w:r>
      <w:r w:rsidR="00B9640F" w:rsidRPr="006D3C51">
        <w:rPr>
          <w:rFonts w:ascii="Times New Roman" w:hAnsi="Times New Roman" w:cs="Times New Roman"/>
          <w:sz w:val="24"/>
          <w:szCs w:val="24"/>
        </w:rPr>
        <w:t>§</w:t>
      </w:r>
      <w:r w:rsidR="00B9640F">
        <w:rPr>
          <w:rFonts w:ascii="Times New Roman" w:hAnsi="Times New Roman" w:cs="Times New Roman"/>
          <w:sz w:val="24"/>
          <w:szCs w:val="24"/>
        </w:rPr>
        <w:t xml:space="preserve"> </w:t>
      </w:r>
      <w:r w:rsidR="0068413E" w:rsidRPr="006D3C51">
        <w:rPr>
          <w:rFonts w:ascii="Times New Roman" w:hAnsi="Times New Roman" w:cs="Times New Roman"/>
          <w:sz w:val="24"/>
          <w:szCs w:val="24"/>
        </w:rPr>
        <w:t>59)</w:t>
      </w:r>
      <w:r w:rsidRPr="006D3C51">
        <w:rPr>
          <w:rFonts w:ascii="Times New Roman" w:hAnsi="Times New Roman" w:cs="Times New Roman"/>
          <w:sz w:val="24"/>
          <w:szCs w:val="24"/>
        </w:rPr>
        <w:t>.</w:t>
      </w:r>
    </w:p>
    <w:p w14:paraId="0F509AF3" w14:textId="41B04ABB" w:rsidR="00C12560" w:rsidRPr="006D3C51" w:rsidRDefault="00C12560"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En la ponderación entre el interés de la sociedad a la seguridad jurídica en ámbito registral y los derechos de las personas transexuales, s</w:t>
      </w:r>
      <w:r w:rsidR="00896C8B">
        <w:rPr>
          <w:rFonts w:ascii="Times New Roman" w:hAnsi="Times New Roman" w:cs="Times New Roman"/>
          <w:sz w:val="24"/>
          <w:szCs w:val="24"/>
        </w:rPr>
        <w:t>eguía</w:t>
      </w:r>
      <w:r w:rsidRPr="006D3C51">
        <w:rPr>
          <w:rFonts w:ascii="Times New Roman" w:hAnsi="Times New Roman" w:cs="Times New Roman"/>
          <w:sz w:val="24"/>
          <w:szCs w:val="24"/>
        </w:rPr>
        <w:t xml:space="preserve"> prevaleciendo el primero. La Corte Europea, con estas afirmaciones, </w:t>
      </w:r>
      <w:r w:rsidR="00896C8B">
        <w:rPr>
          <w:rFonts w:ascii="Times New Roman" w:hAnsi="Times New Roman" w:cs="Times New Roman"/>
          <w:sz w:val="24"/>
          <w:szCs w:val="24"/>
        </w:rPr>
        <w:t>continuó</w:t>
      </w:r>
      <w:r w:rsidRPr="006D3C51">
        <w:rPr>
          <w:rFonts w:ascii="Times New Roman" w:hAnsi="Times New Roman" w:cs="Times New Roman"/>
          <w:sz w:val="24"/>
          <w:szCs w:val="24"/>
        </w:rPr>
        <w:t xml:space="preserve"> defendiendo una visión según la cual el sufrimiento, la vergüenza y la angustia padecidas por las personas transexuales que no </w:t>
      </w:r>
      <w:r w:rsidRPr="006D3C51">
        <w:rPr>
          <w:rFonts w:ascii="Times New Roman" w:hAnsi="Times New Roman" w:cs="Times New Roman"/>
          <w:sz w:val="24"/>
          <w:szCs w:val="24"/>
        </w:rPr>
        <w:lastRenderedPageBreak/>
        <w:t>obtienen un completo reconocimiento legal de su nueva identidad sexual constituyen unos inconvenientes menores y de poca importancia. Al fin y al cabo, afirma el mismo TEDH, “</w:t>
      </w:r>
      <w:r w:rsidRPr="006D3C51">
        <w:rPr>
          <w:rFonts w:ascii="Times New Roman" w:hAnsi="Times New Roman" w:cs="Times New Roman"/>
          <w:i/>
          <w:sz w:val="24"/>
          <w:szCs w:val="24"/>
        </w:rPr>
        <w:t>el Estado demandado se ha esforzado, en cierta medida, por minimizar los riesgos para los transexuales de que se les hagan preguntas vergonzosas sobre su sexo</w:t>
      </w:r>
      <w:r w:rsidRPr="006D3C51">
        <w:rPr>
          <w:rFonts w:ascii="Times New Roman" w:hAnsi="Times New Roman" w:cs="Times New Roman"/>
          <w:sz w:val="24"/>
          <w:szCs w:val="24"/>
        </w:rPr>
        <w:t>”</w:t>
      </w:r>
      <w:r w:rsidR="0068413E" w:rsidRPr="006D3C51">
        <w:rPr>
          <w:rFonts w:ascii="Times New Roman" w:hAnsi="Times New Roman" w:cs="Times New Roman"/>
          <w:sz w:val="24"/>
          <w:szCs w:val="24"/>
        </w:rPr>
        <w:t xml:space="preserve"> (</w:t>
      </w:r>
      <w:r w:rsidR="00B9640F" w:rsidRPr="006D3C51">
        <w:rPr>
          <w:rFonts w:ascii="Times New Roman" w:hAnsi="Times New Roman" w:cs="Times New Roman"/>
          <w:sz w:val="24"/>
          <w:szCs w:val="24"/>
        </w:rPr>
        <w:t>§</w:t>
      </w:r>
      <w:r w:rsidR="00B9640F">
        <w:rPr>
          <w:rFonts w:ascii="Times New Roman" w:hAnsi="Times New Roman" w:cs="Times New Roman"/>
          <w:sz w:val="24"/>
          <w:szCs w:val="24"/>
        </w:rPr>
        <w:t xml:space="preserve"> </w:t>
      </w:r>
      <w:r w:rsidR="0068413E" w:rsidRPr="006D3C51">
        <w:rPr>
          <w:rFonts w:ascii="Times New Roman" w:hAnsi="Times New Roman" w:cs="Times New Roman"/>
          <w:sz w:val="24"/>
          <w:szCs w:val="24"/>
        </w:rPr>
        <w:t>59)</w:t>
      </w:r>
      <w:r w:rsidRPr="006D3C51">
        <w:rPr>
          <w:rFonts w:ascii="Times New Roman" w:hAnsi="Times New Roman" w:cs="Times New Roman"/>
          <w:sz w:val="24"/>
          <w:szCs w:val="24"/>
        </w:rPr>
        <w:t xml:space="preserve">, como si esto fuera más que suficiente. </w:t>
      </w:r>
    </w:p>
    <w:p w14:paraId="2493C30D" w14:textId="3A8FA562" w:rsidR="00A279E5" w:rsidRPr="006D3C51" w:rsidRDefault="00A279E5"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Con la decisión, como era de esperar, se han emitido varios votos disidentes que solicitaron una revisión de la doctrina del Tribunal sobre el particular, evidentemente poco garantista de los derechos e intereses de las personas trans. </w:t>
      </w:r>
    </w:p>
    <w:p w14:paraId="33C88109" w14:textId="083A3BE8" w:rsidR="0055742A" w:rsidRPr="006D3C51" w:rsidRDefault="0055742A" w:rsidP="00781D53">
      <w:pPr>
        <w:spacing w:after="0" w:line="276" w:lineRule="auto"/>
        <w:jc w:val="both"/>
        <w:rPr>
          <w:rFonts w:ascii="Times New Roman" w:hAnsi="Times New Roman" w:cs="Times New Roman"/>
          <w:sz w:val="24"/>
          <w:szCs w:val="24"/>
        </w:rPr>
      </w:pPr>
    </w:p>
    <w:p w14:paraId="3D18DF44" w14:textId="7CFF288E" w:rsidR="00487EAB" w:rsidRPr="009D2232" w:rsidRDefault="00F44A5D" w:rsidP="00781D53">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IV. </w:t>
      </w:r>
      <w:r w:rsidR="00487EAB" w:rsidRPr="006D3C51">
        <w:rPr>
          <w:rFonts w:ascii="Times New Roman" w:hAnsi="Times New Roman" w:cs="Times New Roman"/>
          <w:b/>
          <w:sz w:val="24"/>
          <w:szCs w:val="24"/>
        </w:rPr>
        <w:t>U</w:t>
      </w:r>
      <w:r w:rsidRPr="006D3C51">
        <w:rPr>
          <w:rFonts w:ascii="Times New Roman" w:hAnsi="Times New Roman" w:cs="Times New Roman"/>
          <w:b/>
          <w:sz w:val="24"/>
          <w:szCs w:val="24"/>
        </w:rPr>
        <w:t>na modificación de la jurisprudencia destinada a ser consolidada</w:t>
      </w:r>
      <w:r>
        <w:rPr>
          <w:rFonts w:ascii="Times New Roman" w:hAnsi="Times New Roman" w:cs="Times New Roman"/>
          <w:b/>
          <w:sz w:val="24"/>
          <w:szCs w:val="24"/>
        </w:rPr>
        <w:t>: la sentencia</w:t>
      </w:r>
      <w:r w:rsidR="00487EAB" w:rsidRPr="006D3C51">
        <w:rPr>
          <w:rFonts w:ascii="Times New Roman" w:hAnsi="Times New Roman" w:cs="Times New Roman"/>
          <w:b/>
          <w:sz w:val="24"/>
          <w:szCs w:val="24"/>
        </w:rPr>
        <w:t xml:space="preserve"> </w:t>
      </w:r>
      <w:r w:rsidRPr="00F44A5D">
        <w:rPr>
          <w:rFonts w:ascii="Times New Roman" w:hAnsi="Times New Roman" w:cs="Times New Roman"/>
          <w:b/>
          <w:sz w:val="24"/>
          <w:szCs w:val="24"/>
        </w:rPr>
        <w:t xml:space="preserve">de 11 de julio de 2002, asunto </w:t>
      </w:r>
      <w:r w:rsidRPr="00F44A5D">
        <w:rPr>
          <w:rFonts w:ascii="Times New Roman" w:hAnsi="Times New Roman" w:cs="Times New Roman"/>
          <w:b/>
          <w:i/>
          <w:iCs/>
          <w:sz w:val="24"/>
          <w:szCs w:val="24"/>
        </w:rPr>
        <w:t>Christine Goodwin c. Reino Unido</w:t>
      </w:r>
      <w:r w:rsidR="009D2232">
        <w:rPr>
          <w:rFonts w:ascii="Times New Roman" w:hAnsi="Times New Roman" w:cs="Times New Roman"/>
          <w:b/>
          <w:iCs/>
          <w:sz w:val="24"/>
          <w:szCs w:val="24"/>
        </w:rPr>
        <w:t>, y las demás decisiones de la primera década del siglo XXI</w:t>
      </w:r>
      <w:r w:rsidR="001077BA">
        <w:rPr>
          <w:rFonts w:ascii="Times New Roman" w:hAnsi="Times New Roman" w:cs="Times New Roman"/>
          <w:b/>
          <w:iCs/>
          <w:sz w:val="24"/>
          <w:szCs w:val="24"/>
        </w:rPr>
        <w:t>.</w:t>
      </w:r>
    </w:p>
    <w:p w14:paraId="13B5CFC0" w14:textId="77777777" w:rsidR="00D447CE" w:rsidRPr="006D3C51" w:rsidRDefault="00D447CE" w:rsidP="00781D53">
      <w:pPr>
        <w:spacing w:after="0" w:line="276" w:lineRule="auto"/>
        <w:jc w:val="both"/>
        <w:rPr>
          <w:rFonts w:ascii="Times New Roman" w:hAnsi="Times New Roman" w:cs="Times New Roman"/>
          <w:sz w:val="24"/>
          <w:szCs w:val="24"/>
        </w:rPr>
      </w:pPr>
    </w:p>
    <w:p w14:paraId="0C1F943E" w14:textId="593AF558" w:rsidR="0001185F" w:rsidRPr="006D3C51" w:rsidRDefault="00876A8E" w:rsidP="00781D5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 principios del siglo XXI llegó el momento tan esperado en el que el Tribunal Europeo </w:t>
      </w:r>
      <w:r w:rsidR="00C619E2">
        <w:rPr>
          <w:rFonts w:ascii="Times New Roman" w:hAnsi="Times New Roman" w:cs="Times New Roman"/>
          <w:sz w:val="24"/>
          <w:szCs w:val="24"/>
        </w:rPr>
        <w:t>modificó su anterior jurisprudencia en la dirección de una real protección de los derechos de las personas transexuales, incorporando finalmente algunas de las peticiones manifestadas por la sociedad (y por los mismos Jueces disidentes, cuyos votos particulares se han analizado en las páginas anteriores)</w:t>
      </w:r>
      <w:r w:rsidR="00334AC1" w:rsidRPr="006D3C51">
        <w:rPr>
          <w:rFonts w:ascii="Times New Roman" w:hAnsi="Times New Roman" w:cs="Times New Roman"/>
          <w:sz w:val="24"/>
          <w:szCs w:val="24"/>
        </w:rPr>
        <w:t xml:space="preserve"> en la famosa sentencia de 11 de julio de 2002, asunto </w:t>
      </w:r>
      <w:r w:rsidR="00334AC1" w:rsidRPr="00781D53">
        <w:rPr>
          <w:rFonts w:ascii="Times New Roman" w:hAnsi="Times New Roman" w:cs="Times New Roman"/>
          <w:i/>
          <w:iCs/>
          <w:sz w:val="24"/>
          <w:szCs w:val="24"/>
        </w:rPr>
        <w:t>Christine Goodwin c. Reino Unido</w:t>
      </w:r>
      <w:r w:rsidR="00D447CE" w:rsidRPr="006D3C51">
        <w:rPr>
          <w:rStyle w:val="Refdenotaalpie"/>
          <w:rFonts w:ascii="Times New Roman" w:hAnsi="Times New Roman" w:cs="Times New Roman"/>
          <w:sz w:val="24"/>
          <w:szCs w:val="24"/>
        </w:rPr>
        <w:footnoteReference w:id="21"/>
      </w:r>
      <w:r w:rsidR="00F44A5D">
        <w:rPr>
          <w:rFonts w:ascii="Times New Roman" w:hAnsi="Times New Roman" w:cs="Times New Roman"/>
          <w:sz w:val="24"/>
          <w:szCs w:val="24"/>
        </w:rPr>
        <w:t>.</w:t>
      </w:r>
      <w:r w:rsidR="00334AC1" w:rsidRPr="006D3C51">
        <w:rPr>
          <w:rFonts w:ascii="Times New Roman" w:hAnsi="Times New Roman" w:cs="Times New Roman"/>
          <w:sz w:val="24"/>
          <w:szCs w:val="24"/>
        </w:rPr>
        <w:t xml:space="preserve"> </w:t>
      </w:r>
    </w:p>
    <w:p w14:paraId="1BD9D989" w14:textId="52C3141C" w:rsidR="00B378CC" w:rsidRPr="006D3C51" w:rsidRDefault="00B378CC"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Christine Goodwin, de nacionalidad británica, es una transexual que se sometió a una operación de cambio de sexo del masculino al femenino. La Sra. Goodwin presentó una demanda ante el TEDH por violación de sus derechos </w:t>
      </w:r>
      <w:r w:rsidRPr="006D3C51">
        <w:rPr>
          <w:rFonts w:ascii="Times New Roman" w:hAnsi="Times New Roman" w:cs="Times New Roman"/>
          <w:i/>
          <w:sz w:val="24"/>
          <w:szCs w:val="24"/>
        </w:rPr>
        <w:t>ex</w:t>
      </w:r>
      <w:r w:rsidRPr="006D3C51">
        <w:rPr>
          <w:rFonts w:ascii="Times New Roman" w:hAnsi="Times New Roman" w:cs="Times New Roman"/>
          <w:sz w:val="24"/>
          <w:szCs w:val="24"/>
        </w:rPr>
        <w:t xml:space="preserve"> arts. 8, 12, 13 y 14 del CEDH porque en el Reino Unido la legislación no le permitía modificar su identidad sexual a los efectos de las cotizaciones de la Seguridad Social: puesto que continuaba siendo un hombre a efectos legales, tuvo que seguir abonando sus cotizaciones hasta los sesenta y cinco años (cuando, para las mujeres, la edad estaba fijada en los sesenta años). </w:t>
      </w:r>
    </w:p>
    <w:p w14:paraId="4BCCAFE4" w14:textId="22716207" w:rsidR="00795FBD" w:rsidRPr="006D3C51" w:rsidRDefault="00C003CB" w:rsidP="00781D5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Aun</w:t>
      </w:r>
      <w:r w:rsidR="00795FBD" w:rsidRPr="006D3C51">
        <w:rPr>
          <w:rFonts w:ascii="Times New Roman" w:hAnsi="Times New Roman" w:cs="Times New Roman"/>
          <w:sz w:val="24"/>
          <w:szCs w:val="24"/>
        </w:rPr>
        <w:t xml:space="preserve">que se tratara de un asunto relativo a las cotizaciones por jubilación, los problemas de la Sra. Goodwin recuerdan de cerca aquellos de los casos antes analizados: en un Estado miembro del Consejo de Europa la legislación interna no permitía una modificación completa de los datos relativos a la identidad sexual de las personas transexuales y esto provocaba que estas personas no pudieran acceder a los mismos derechos o servicios que los demás ciudadanos, además de crear una situación de sufrimiento y humillación. </w:t>
      </w:r>
    </w:p>
    <w:p w14:paraId="1E7BF427" w14:textId="42311B1F" w:rsidR="002F31FA" w:rsidRPr="006D3C51" w:rsidRDefault="00C003CB" w:rsidP="00781D5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Esta vez, pese a</w:t>
      </w:r>
      <w:r w:rsidR="00795FBD" w:rsidRPr="006D3C51">
        <w:rPr>
          <w:rFonts w:ascii="Times New Roman" w:hAnsi="Times New Roman" w:cs="Times New Roman"/>
          <w:sz w:val="24"/>
          <w:szCs w:val="24"/>
        </w:rPr>
        <w:t xml:space="preserve"> las similitudes con los otros casos, el Tribunal Europeo consideró que había llegado el momento de</w:t>
      </w:r>
      <w:r w:rsidR="00074A32">
        <w:rPr>
          <w:rFonts w:ascii="Times New Roman" w:hAnsi="Times New Roman" w:cs="Times New Roman"/>
          <w:sz w:val="24"/>
          <w:szCs w:val="24"/>
        </w:rPr>
        <w:t xml:space="preserve"> un</w:t>
      </w:r>
      <w:r w:rsidR="00795FBD" w:rsidRPr="006D3C51">
        <w:rPr>
          <w:rFonts w:ascii="Times New Roman" w:hAnsi="Times New Roman" w:cs="Times New Roman"/>
          <w:sz w:val="24"/>
          <w:szCs w:val="24"/>
        </w:rPr>
        <w:t xml:space="preserve"> </w:t>
      </w:r>
      <w:proofErr w:type="spellStart"/>
      <w:r w:rsidR="00795FBD" w:rsidRPr="006D3C51">
        <w:rPr>
          <w:rFonts w:ascii="Times New Roman" w:hAnsi="Times New Roman" w:cs="Times New Roman"/>
          <w:i/>
          <w:sz w:val="24"/>
          <w:szCs w:val="24"/>
        </w:rPr>
        <w:t>overruling</w:t>
      </w:r>
      <w:proofErr w:type="spellEnd"/>
      <w:r w:rsidR="00795FBD" w:rsidRPr="006D3C51">
        <w:rPr>
          <w:rFonts w:ascii="Times New Roman" w:hAnsi="Times New Roman" w:cs="Times New Roman"/>
          <w:sz w:val="24"/>
          <w:szCs w:val="24"/>
        </w:rPr>
        <w:t xml:space="preserve"> en </w:t>
      </w:r>
      <w:r>
        <w:rPr>
          <w:rFonts w:ascii="Times New Roman" w:hAnsi="Times New Roman" w:cs="Times New Roman"/>
          <w:sz w:val="24"/>
          <w:szCs w:val="24"/>
        </w:rPr>
        <w:t>l</w:t>
      </w:r>
      <w:r w:rsidR="00795FBD" w:rsidRPr="006D3C51">
        <w:rPr>
          <w:rFonts w:ascii="Times New Roman" w:hAnsi="Times New Roman" w:cs="Times New Roman"/>
          <w:sz w:val="24"/>
          <w:szCs w:val="24"/>
        </w:rPr>
        <w:t xml:space="preserve">a materia. Que un Estado no reconozca en </w:t>
      </w:r>
      <w:r w:rsidR="00795FBD" w:rsidRPr="006D3C51">
        <w:rPr>
          <w:rFonts w:ascii="Times New Roman" w:hAnsi="Times New Roman" w:cs="Times New Roman"/>
          <w:sz w:val="24"/>
          <w:szCs w:val="24"/>
        </w:rPr>
        <w:lastRenderedPageBreak/>
        <w:t>el plano jurídico el cambio de sexo quirúrgico</w:t>
      </w:r>
      <w:r w:rsidR="00795FBD" w:rsidRPr="006D3C51">
        <w:rPr>
          <w:rStyle w:val="Refdenotaalpie"/>
          <w:rFonts w:ascii="Times New Roman" w:hAnsi="Times New Roman" w:cs="Times New Roman"/>
          <w:sz w:val="24"/>
          <w:szCs w:val="24"/>
        </w:rPr>
        <w:footnoteReference w:id="22"/>
      </w:r>
      <w:r w:rsidR="00973518">
        <w:rPr>
          <w:rFonts w:ascii="Times New Roman" w:hAnsi="Times New Roman" w:cs="Times New Roman"/>
          <w:sz w:val="24"/>
          <w:szCs w:val="24"/>
        </w:rPr>
        <w:t>,</w:t>
      </w:r>
      <w:r w:rsidR="002F31FA" w:rsidRPr="006D3C51">
        <w:rPr>
          <w:rFonts w:ascii="Times New Roman" w:hAnsi="Times New Roman" w:cs="Times New Roman"/>
          <w:sz w:val="24"/>
          <w:szCs w:val="24"/>
        </w:rPr>
        <w:t xml:space="preserve"> en efecto, </w:t>
      </w:r>
      <w:r w:rsidR="00C56876" w:rsidRPr="006D3C51">
        <w:rPr>
          <w:rFonts w:ascii="Times New Roman" w:hAnsi="Times New Roman" w:cs="Times New Roman"/>
          <w:sz w:val="24"/>
          <w:szCs w:val="24"/>
        </w:rPr>
        <w:t xml:space="preserve">repercute en </w:t>
      </w:r>
      <w:r w:rsidR="002F31FA" w:rsidRPr="006D3C51">
        <w:rPr>
          <w:rFonts w:ascii="Times New Roman" w:hAnsi="Times New Roman" w:cs="Times New Roman"/>
          <w:sz w:val="24"/>
          <w:szCs w:val="24"/>
        </w:rPr>
        <w:t>la</w:t>
      </w:r>
      <w:r w:rsidR="00C56876" w:rsidRPr="006D3C51">
        <w:rPr>
          <w:rFonts w:ascii="Times New Roman" w:hAnsi="Times New Roman" w:cs="Times New Roman"/>
          <w:sz w:val="24"/>
          <w:szCs w:val="24"/>
        </w:rPr>
        <w:t xml:space="preserve"> vida</w:t>
      </w:r>
      <w:r w:rsidR="002F31FA" w:rsidRPr="006D3C51">
        <w:rPr>
          <w:rFonts w:ascii="Times New Roman" w:hAnsi="Times New Roman" w:cs="Times New Roman"/>
          <w:sz w:val="24"/>
          <w:szCs w:val="24"/>
        </w:rPr>
        <w:t xml:space="preserve"> de las personas transexuales</w:t>
      </w:r>
      <w:r w:rsidR="00C56876" w:rsidRPr="006D3C51">
        <w:rPr>
          <w:rFonts w:ascii="Times New Roman" w:hAnsi="Times New Roman" w:cs="Times New Roman"/>
          <w:sz w:val="24"/>
          <w:szCs w:val="24"/>
        </w:rPr>
        <w:t xml:space="preserve">, ya que el sexo reviste una importancia jurídica, por ejemplo, para las pensiones, la edad de jubilación, etc. </w:t>
      </w:r>
      <w:r w:rsidR="002F31FA" w:rsidRPr="006D3C51">
        <w:rPr>
          <w:rFonts w:ascii="Times New Roman" w:hAnsi="Times New Roman" w:cs="Times New Roman"/>
          <w:sz w:val="24"/>
          <w:szCs w:val="24"/>
        </w:rPr>
        <w:t>Esto</w:t>
      </w:r>
      <w:r w:rsidR="004718B4" w:rsidRPr="006D3C51">
        <w:rPr>
          <w:rFonts w:ascii="Times New Roman" w:hAnsi="Times New Roman" w:cs="Times New Roman"/>
          <w:sz w:val="24"/>
          <w:szCs w:val="24"/>
        </w:rPr>
        <w:t>, en opinión del Tribunal,</w:t>
      </w:r>
      <w:r w:rsidR="00C56876" w:rsidRPr="006D3C51">
        <w:rPr>
          <w:rFonts w:ascii="Times New Roman" w:hAnsi="Times New Roman" w:cs="Times New Roman"/>
          <w:sz w:val="24"/>
          <w:szCs w:val="24"/>
        </w:rPr>
        <w:t xml:space="preserve"> puede producir un grave atentado contra la vida privada, ya que un conflicto entre la realidad social y el Derecho coloca a la persona transexual en una situación anormal que le</w:t>
      </w:r>
      <w:r w:rsidR="0069690C" w:rsidRPr="006D3C51">
        <w:rPr>
          <w:rFonts w:ascii="Times New Roman" w:hAnsi="Times New Roman" w:cs="Times New Roman"/>
          <w:sz w:val="24"/>
          <w:szCs w:val="24"/>
        </w:rPr>
        <w:t>s</w:t>
      </w:r>
      <w:r w:rsidR="00C56876" w:rsidRPr="006D3C51">
        <w:rPr>
          <w:rFonts w:ascii="Times New Roman" w:hAnsi="Times New Roman" w:cs="Times New Roman"/>
          <w:sz w:val="24"/>
          <w:szCs w:val="24"/>
        </w:rPr>
        <w:t xml:space="preserve"> provoca sentimientos de vulnerabilidad, humillación y ansiedad</w:t>
      </w:r>
      <w:r w:rsidR="0069690C" w:rsidRPr="006D3C51">
        <w:rPr>
          <w:rFonts w:ascii="Times New Roman" w:hAnsi="Times New Roman" w:cs="Times New Roman"/>
          <w:sz w:val="24"/>
          <w:szCs w:val="24"/>
        </w:rPr>
        <w:t xml:space="preserve"> (</w:t>
      </w:r>
      <w:r w:rsidR="00B9640F" w:rsidRPr="006D3C51">
        <w:rPr>
          <w:rFonts w:ascii="Times New Roman" w:hAnsi="Times New Roman" w:cs="Times New Roman"/>
          <w:sz w:val="24"/>
          <w:szCs w:val="24"/>
        </w:rPr>
        <w:t>§§</w:t>
      </w:r>
      <w:r w:rsidR="00B9640F">
        <w:rPr>
          <w:rFonts w:ascii="Times New Roman" w:hAnsi="Times New Roman" w:cs="Times New Roman"/>
          <w:sz w:val="24"/>
          <w:szCs w:val="24"/>
        </w:rPr>
        <w:t xml:space="preserve"> </w:t>
      </w:r>
      <w:r w:rsidR="0069690C" w:rsidRPr="006D3C51">
        <w:rPr>
          <w:rFonts w:ascii="Times New Roman" w:hAnsi="Times New Roman" w:cs="Times New Roman"/>
          <w:sz w:val="24"/>
          <w:szCs w:val="24"/>
        </w:rPr>
        <w:t>76-77)</w:t>
      </w:r>
      <w:r w:rsidR="0011469B">
        <w:rPr>
          <w:rStyle w:val="Refdenotaalpie"/>
          <w:rFonts w:ascii="Times New Roman" w:hAnsi="Times New Roman" w:cs="Times New Roman"/>
          <w:sz w:val="24"/>
          <w:szCs w:val="24"/>
        </w:rPr>
        <w:footnoteReference w:id="23"/>
      </w:r>
      <w:r w:rsidR="002F31FA" w:rsidRPr="006D3C51">
        <w:rPr>
          <w:rFonts w:ascii="Times New Roman" w:hAnsi="Times New Roman" w:cs="Times New Roman"/>
          <w:sz w:val="24"/>
          <w:szCs w:val="24"/>
        </w:rPr>
        <w:t>.</w:t>
      </w:r>
      <w:r w:rsidR="00C56876" w:rsidRPr="006D3C51">
        <w:rPr>
          <w:rFonts w:ascii="Times New Roman" w:hAnsi="Times New Roman" w:cs="Times New Roman"/>
          <w:sz w:val="24"/>
          <w:szCs w:val="24"/>
        </w:rPr>
        <w:t xml:space="preserve"> </w:t>
      </w:r>
    </w:p>
    <w:p w14:paraId="726DECE8" w14:textId="19121553" w:rsidR="00660AA9" w:rsidRPr="006D3C51" w:rsidRDefault="00F62F34"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Aunque</w:t>
      </w:r>
      <w:r w:rsidR="00C56876" w:rsidRPr="006D3C51">
        <w:rPr>
          <w:rFonts w:ascii="Times New Roman" w:hAnsi="Times New Roman" w:cs="Times New Roman"/>
          <w:sz w:val="24"/>
          <w:szCs w:val="24"/>
        </w:rPr>
        <w:t xml:space="preserve"> no se h</w:t>
      </w:r>
      <w:r w:rsidRPr="006D3C51">
        <w:rPr>
          <w:rFonts w:ascii="Times New Roman" w:hAnsi="Times New Roman" w:cs="Times New Roman"/>
          <w:sz w:val="24"/>
          <w:szCs w:val="24"/>
        </w:rPr>
        <w:t>ubiera</w:t>
      </w:r>
      <w:r w:rsidR="00C56876" w:rsidRPr="006D3C51">
        <w:rPr>
          <w:rFonts w:ascii="Times New Roman" w:hAnsi="Times New Roman" w:cs="Times New Roman"/>
          <w:sz w:val="24"/>
          <w:szCs w:val="24"/>
        </w:rPr>
        <w:t xml:space="preserve"> producido ningún descubrimiento </w:t>
      </w:r>
      <w:r w:rsidRPr="006D3C51">
        <w:rPr>
          <w:rFonts w:ascii="Times New Roman" w:hAnsi="Times New Roman" w:cs="Times New Roman"/>
          <w:sz w:val="24"/>
          <w:szCs w:val="24"/>
        </w:rPr>
        <w:t>novedoso</w:t>
      </w:r>
      <w:r w:rsidR="00C56876" w:rsidRPr="006D3C51">
        <w:rPr>
          <w:rFonts w:ascii="Times New Roman" w:hAnsi="Times New Roman" w:cs="Times New Roman"/>
          <w:sz w:val="24"/>
          <w:szCs w:val="24"/>
        </w:rPr>
        <w:t xml:space="preserve"> con respecto a las causas de la transexualidad, </w:t>
      </w:r>
      <w:r w:rsidRPr="006D3C51">
        <w:rPr>
          <w:rFonts w:ascii="Times New Roman" w:hAnsi="Times New Roman" w:cs="Times New Roman"/>
          <w:sz w:val="24"/>
          <w:szCs w:val="24"/>
        </w:rPr>
        <w:t>el TEDH constat</w:t>
      </w:r>
      <w:r w:rsidR="0069690C" w:rsidRPr="006D3C51">
        <w:rPr>
          <w:rFonts w:ascii="Times New Roman" w:hAnsi="Times New Roman" w:cs="Times New Roman"/>
          <w:sz w:val="24"/>
          <w:szCs w:val="24"/>
        </w:rPr>
        <w:t>ó</w:t>
      </w:r>
      <w:r w:rsidRPr="006D3C51">
        <w:rPr>
          <w:rFonts w:ascii="Times New Roman" w:hAnsi="Times New Roman" w:cs="Times New Roman"/>
          <w:sz w:val="24"/>
          <w:szCs w:val="24"/>
        </w:rPr>
        <w:t xml:space="preserve"> que, a nivel internacional,</w:t>
      </w:r>
      <w:r w:rsidR="00C56876" w:rsidRPr="006D3C51">
        <w:rPr>
          <w:rFonts w:ascii="Times New Roman" w:hAnsi="Times New Roman" w:cs="Times New Roman"/>
          <w:sz w:val="24"/>
          <w:szCs w:val="24"/>
        </w:rPr>
        <w:t xml:space="preserve"> </w:t>
      </w:r>
      <w:r w:rsidR="00660AA9" w:rsidRPr="006D3C51">
        <w:rPr>
          <w:rFonts w:ascii="Times New Roman" w:hAnsi="Times New Roman" w:cs="Times New Roman"/>
          <w:sz w:val="24"/>
          <w:szCs w:val="24"/>
        </w:rPr>
        <w:t xml:space="preserve">de un lado, </w:t>
      </w:r>
      <w:r w:rsidR="00C56876" w:rsidRPr="006D3C51">
        <w:rPr>
          <w:rFonts w:ascii="Times New Roman" w:hAnsi="Times New Roman" w:cs="Times New Roman"/>
          <w:sz w:val="24"/>
          <w:szCs w:val="24"/>
        </w:rPr>
        <w:t xml:space="preserve">se </w:t>
      </w:r>
      <w:r w:rsidRPr="006D3C51">
        <w:rPr>
          <w:rFonts w:ascii="Times New Roman" w:hAnsi="Times New Roman" w:cs="Times New Roman"/>
          <w:sz w:val="24"/>
          <w:szCs w:val="24"/>
        </w:rPr>
        <w:t xml:space="preserve">había </w:t>
      </w:r>
      <w:r w:rsidR="00C56876" w:rsidRPr="006D3C51">
        <w:rPr>
          <w:rFonts w:ascii="Times New Roman" w:hAnsi="Times New Roman" w:cs="Times New Roman"/>
          <w:sz w:val="24"/>
          <w:szCs w:val="24"/>
        </w:rPr>
        <w:t>recono</w:t>
      </w:r>
      <w:r w:rsidRPr="006D3C51">
        <w:rPr>
          <w:rFonts w:ascii="Times New Roman" w:hAnsi="Times New Roman" w:cs="Times New Roman"/>
          <w:sz w:val="24"/>
          <w:szCs w:val="24"/>
        </w:rPr>
        <w:t>cido</w:t>
      </w:r>
      <w:r w:rsidR="00C56876" w:rsidRPr="006D3C51">
        <w:rPr>
          <w:rFonts w:ascii="Times New Roman" w:hAnsi="Times New Roman" w:cs="Times New Roman"/>
          <w:sz w:val="24"/>
          <w:szCs w:val="24"/>
        </w:rPr>
        <w:t xml:space="preserve"> ampliamente que la transexualidad constitu</w:t>
      </w:r>
      <w:r w:rsidR="0069690C" w:rsidRPr="006D3C51">
        <w:rPr>
          <w:rFonts w:ascii="Times New Roman" w:hAnsi="Times New Roman" w:cs="Times New Roman"/>
          <w:sz w:val="24"/>
          <w:szCs w:val="24"/>
        </w:rPr>
        <w:t>ía</w:t>
      </w:r>
      <w:r w:rsidR="00C56876" w:rsidRPr="006D3C51">
        <w:rPr>
          <w:rFonts w:ascii="Times New Roman" w:hAnsi="Times New Roman" w:cs="Times New Roman"/>
          <w:sz w:val="24"/>
          <w:szCs w:val="24"/>
        </w:rPr>
        <w:t xml:space="preserve"> una situación médica que justifica un tratamiento</w:t>
      </w:r>
      <w:r w:rsidR="00660AA9" w:rsidRPr="006D3C51">
        <w:rPr>
          <w:rFonts w:ascii="Times New Roman" w:hAnsi="Times New Roman" w:cs="Times New Roman"/>
          <w:sz w:val="24"/>
          <w:szCs w:val="24"/>
        </w:rPr>
        <w:t xml:space="preserve"> y, de otro, </w:t>
      </w:r>
      <w:r w:rsidR="009759BE" w:rsidRPr="006D3C51">
        <w:rPr>
          <w:rFonts w:ascii="Times New Roman" w:hAnsi="Times New Roman" w:cs="Times New Roman"/>
          <w:sz w:val="24"/>
          <w:szCs w:val="24"/>
        </w:rPr>
        <w:t xml:space="preserve">que </w:t>
      </w:r>
      <w:r w:rsidR="00660AA9" w:rsidRPr="006D3C51">
        <w:rPr>
          <w:rFonts w:ascii="Times New Roman" w:hAnsi="Times New Roman" w:cs="Times New Roman"/>
          <w:sz w:val="24"/>
          <w:szCs w:val="24"/>
        </w:rPr>
        <w:t xml:space="preserve">no podía negarse una tendencia </w:t>
      </w:r>
      <w:r w:rsidR="00B7261A" w:rsidRPr="006D3C51">
        <w:rPr>
          <w:rFonts w:ascii="Times New Roman" w:hAnsi="Times New Roman" w:cs="Times New Roman"/>
          <w:sz w:val="24"/>
          <w:szCs w:val="24"/>
        </w:rPr>
        <w:t>continuada, no solamente hacia una aceptación social mayor de los transexuales, sino también hacia el reconocimiento jurídico de la nueva identidad sexual de los transexuales operados</w:t>
      </w:r>
      <w:r w:rsidR="0069690C" w:rsidRPr="006D3C51">
        <w:rPr>
          <w:rFonts w:ascii="Times New Roman" w:hAnsi="Times New Roman" w:cs="Times New Roman"/>
          <w:sz w:val="24"/>
          <w:szCs w:val="24"/>
        </w:rPr>
        <w:t xml:space="preserve"> (</w:t>
      </w:r>
      <w:r w:rsidR="00B9640F" w:rsidRPr="006D3C51">
        <w:rPr>
          <w:rFonts w:ascii="Times New Roman" w:hAnsi="Times New Roman" w:cs="Times New Roman"/>
          <w:sz w:val="24"/>
          <w:szCs w:val="24"/>
        </w:rPr>
        <w:t>§§</w:t>
      </w:r>
      <w:r w:rsidR="00B9640F">
        <w:rPr>
          <w:rFonts w:ascii="Times New Roman" w:hAnsi="Times New Roman" w:cs="Times New Roman"/>
          <w:sz w:val="24"/>
          <w:szCs w:val="24"/>
        </w:rPr>
        <w:t xml:space="preserve"> </w:t>
      </w:r>
      <w:r w:rsidR="0069690C" w:rsidRPr="006D3C51">
        <w:rPr>
          <w:rFonts w:ascii="Times New Roman" w:hAnsi="Times New Roman" w:cs="Times New Roman"/>
          <w:sz w:val="24"/>
          <w:szCs w:val="24"/>
        </w:rPr>
        <w:t>81-85)</w:t>
      </w:r>
      <w:r w:rsidR="00B7261A" w:rsidRPr="006D3C51">
        <w:rPr>
          <w:rFonts w:ascii="Times New Roman" w:hAnsi="Times New Roman" w:cs="Times New Roman"/>
          <w:sz w:val="24"/>
          <w:szCs w:val="24"/>
        </w:rPr>
        <w:t>.</w:t>
      </w:r>
      <w:r w:rsidR="001942B5" w:rsidRPr="006D3C51">
        <w:rPr>
          <w:rFonts w:ascii="Times New Roman" w:hAnsi="Times New Roman" w:cs="Times New Roman"/>
          <w:sz w:val="24"/>
          <w:szCs w:val="24"/>
        </w:rPr>
        <w:t xml:space="preserve"> En particular, en el apartado 82 el TEDH afirmó que “</w:t>
      </w:r>
      <w:r w:rsidR="001942B5" w:rsidRPr="006D3C51">
        <w:rPr>
          <w:rFonts w:ascii="Times New Roman" w:hAnsi="Times New Roman" w:cs="Times New Roman"/>
          <w:i/>
          <w:sz w:val="24"/>
          <w:szCs w:val="24"/>
        </w:rPr>
        <w:t>dados los muchos procedimientos dolorosos que conlleva dicha cirugía y el grado de determinación y convicción que se requiere para cambiar de rol sexual en la sociedad, no se puede creer que haya algo arbitrario o irreflexivo en la decisión de una persona de someterse a una reasignación de género</w:t>
      </w:r>
      <w:r w:rsidR="001942B5" w:rsidRPr="006D3C51">
        <w:rPr>
          <w:rFonts w:ascii="Times New Roman" w:hAnsi="Times New Roman" w:cs="Times New Roman"/>
          <w:sz w:val="24"/>
          <w:szCs w:val="24"/>
        </w:rPr>
        <w:t xml:space="preserve">”, reconociendo valor a esta decisión tan íntima y personal. </w:t>
      </w:r>
    </w:p>
    <w:p w14:paraId="24816A87" w14:textId="63DB52C2" w:rsidR="009759BE" w:rsidRPr="006D3C51" w:rsidRDefault="009759BE"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El Tribunal, por primera vez, conect</w:t>
      </w:r>
      <w:r w:rsidR="0069690C" w:rsidRPr="006D3C51">
        <w:rPr>
          <w:rFonts w:ascii="Times New Roman" w:hAnsi="Times New Roman" w:cs="Times New Roman"/>
          <w:sz w:val="24"/>
          <w:szCs w:val="24"/>
        </w:rPr>
        <w:t>ó</w:t>
      </w:r>
      <w:r w:rsidRPr="006D3C51">
        <w:rPr>
          <w:rFonts w:ascii="Times New Roman" w:hAnsi="Times New Roman" w:cs="Times New Roman"/>
          <w:sz w:val="24"/>
          <w:szCs w:val="24"/>
        </w:rPr>
        <w:t xml:space="preserve"> la situación de las personas transexuales con la necesidad de proteger la dignidad y la libertad de los individuos, en cuanto “</w:t>
      </w:r>
      <w:r w:rsidRPr="006D3C51">
        <w:rPr>
          <w:rFonts w:ascii="Times New Roman" w:hAnsi="Times New Roman" w:cs="Times New Roman"/>
          <w:i/>
          <w:sz w:val="24"/>
          <w:szCs w:val="24"/>
        </w:rPr>
        <w:t>esencia misma del Convenio</w:t>
      </w:r>
      <w:r w:rsidRPr="006D3C51">
        <w:rPr>
          <w:rFonts w:ascii="Times New Roman" w:hAnsi="Times New Roman" w:cs="Times New Roman"/>
          <w:sz w:val="24"/>
          <w:szCs w:val="24"/>
        </w:rPr>
        <w:t xml:space="preserve">”, y, en particular, que el art. 8 CEDH incluye la noción de </w:t>
      </w:r>
      <w:r w:rsidR="00C56876" w:rsidRPr="006D3C51">
        <w:rPr>
          <w:rFonts w:ascii="Times New Roman" w:hAnsi="Times New Roman" w:cs="Times New Roman"/>
          <w:sz w:val="24"/>
          <w:szCs w:val="24"/>
        </w:rPr>
        <w:t xml:space="preserve">autonomía personal </w:t>
      </w:r>
      <w:r w:rsidRPr="006D3C51">
        <w:rPr>
          <w:rFonts w:ascii="Times New Roman" w:hAnsi="Times New Roman" w:cs="Times New Roman"/>
          <w:sz w:val="24"/>
          <w:szCs w:val="24"/>
        </w:rPr>
        <w:t>y protege</w:t>
      </w:r>
      <w:r w:rsidR="00C56876" w:rsidRPr="006D3C51">
        <w:rPr>
          <w:rFonts w:ascii="Times New Roman" w:hAnsi="Times New Roman" w:cs="Times New Roman"/>
          <w:sz w:val="24"/>
          <w:szCs w:val="24"/>
        </w:rPr>
        <w:t xml:space="preserve"> la esfera personal de cada individuo, </w:t>
      </w:r>
      <w:r w:rsidRPr="006D3C51">
        <w:rPr>
          <w:rFonts w:ascii="Times New Roman" w:hAnsi="Times New Roman" w:cs="Times New Roman"/>
          <w:sz w:val="24"/>
          <w:szCs w:val="24"/>
        </w:rPr>
        <w:t>incluido</w:t>
      </w:r>
      <w:r w:rsidR="00C56876" w:rsidRPr="006D3C51">
        <w:rPr>
          <w:rFonts w:ascii="Times New Roman" w:hAnsi="Times New Roman" w:cs="Times New Roman"/>
          <w:sz w:val="24"/>
          <w:szCs w:val="24"/>
        </w:rPr>
        <w:t xml:space="preserve"> el derecho de cada uno a establecer los detalles de su identidad como ser humano.</w:t>
      </w:r>
      <w:r w:rsidR="003671B7" w:rsidRPr="006D3C51">
        <w:rPr>
          <w:rFonts w:ascii="Times New Roman" w:hAnsi="Times New Roman" w:cs="Times New Roman"/>
          <w:sz w:val="24"/>
          <w:szCs w:val="24"/>
        </w:rPr>
        <w:t xml:space="preserve"> El TEDH añad</w:t>
      </w:r>
      <w:r w:rsidR="0069690C" w:rsidRPr="006D3C51">
        <w:rPr>
          <w:rFonts w:ascii="Times New Roman" w:hAnsi="Times New Roman" w:cs="Times New Roman"/>
          <w:sz w:val="24"/>
          <w:szCs w:val="24"/>
        </w:rPr>
        <w:t>ió</w:t>
      </w:r>
      <w:r w:rsidR="003671B7" w:rsidRPr="006D3C51">
        <w:rPr>
          <w:rFonts w:ascii="Times New Roman" w:hAnsi="Times New Roman" w:cs="Times New Roman"/>
          <w:sz w:val="24"/>
          <w:szCs w:val="24"/>
        </w:rPr>
        <w:t xml:space="preserve"> que, en el siglo XXI, ya no puede estimarse que la capacidad de los transexuales para disfrutar plenamente de sus derechos pueda considerarse un tema controvertido que requiera tiempo para hacerse realidad</w:t>
      </w:r>
      <w:r w:rsidR="003671B7" w:rsidRPr="006D3C51">
        <w:rPr>
          <w:rStyle w:val="Refdenotaalpie"/>
          <w:rFonts w:ascii="Times New Roman" w:hAnsi="Times New Roman" w:cs="Times New Roman"/>
          <w:sz w:val="24"/>
          <w:szCs w:val="24"/>
        </w:rPr>
        <w:footnoteReference w:id="24"/>
      </w:r>
      <w:r w:rsidR="00973518">
        <w:rPr>
          <w:rFonts w:ascii="Times New Roman" w:hAnsi="Times New Roman" w:cs="Times New Roman"/>
          <w:sz w:val="24"/>
          <w:szCs w:val="24"/>
        </w:rPr>
        <w:t>;</w:t>
      </w:r>
      <w:r w:rsidR="003671B7" w:rsidRPr="006D3C51">
        <w:rPr>
          <w:rFonts w:ascii="Times New Roman" w:hAnsi="Times New Roman" w:cs="Times New Roman"/>
          <w:sz w:val="24"/>
          <w:szCs w:val="24"/>
        </w:rPr>
        <w:t xml:space="preserve"> entre estos, se menciona específicamente el derecho al libre desarrollo personal y a la integridad física y moral</w:t>
      </w:r>
      <w:r w:rsidR="0069690C" w:rsidRPr="006D3C51">
        <w:rPr>
          <w:rFonts w:ascii="Times New Roman" w:hAnsi="Times New Roman" w:cs="Times New Roman"/>
          <w:sz w:val="24"/>
          <w:szCs w:val="24"/>
        </w:rPr>
        <w:t xml:space="preserve"> (</w:t>
      </w:r>
      <w:r w:rsidR="00B9640F" w:rsidRPr="006D3C51">
        <w:rPr>
          <w:rFonts w:ascii="Times New Roman" w:hAnsi="Times New Roman" w:cs="Times New Roman"/>
          <w:sz w:val="24"/>
          <w:szCs w:val="24"/>
        </w:rPr>
        <w:t>§</w:t>
      </w:r>
      <w:r w:rsidR="00B9640F">
        <w:rPr>
          <w:rFonts w:ascii="Times New Roman" w:hAnsi="Times New Roman" w:cs="Times New Roman"/>
          <w:sz w:val="24"/>
          <w:szCs w:val="24"/>
        </w:rPr>
        <w:t xml:space="preserve"> </w:t>
      </w:r>
      <w:r w:rsidR="0069690C" w:rsidRPr="006D3C51">
        <w:rPr>
          <w:rFonts w:ascii="Times New Roman" w:hAnsi="Times New Roman" w:cs="Times New Roman"/>
          <w:sz w:val="24"/>
          <w:szCs w:val="24"/>
        </w:rPr>
        <w:t>90)</w:t>
      </w:r>
      <w:r w:rsidR="003671B7" w:rsidRPr="006D3C51">
        <w:rPr>
          <w:rFonts w:ascii="Times New Roman" w:hAnsi="Times New Roman" w:cs="Times New Roman"/>
          <w:sz w:val="24"/>
          <w:szCs w:val="24"/>
        </w:rPr>
        <w:t>.</w:t>
      </w:r>
      <w:r w:rsidR="00B63AB4" w:rsidRPr="006D3C51">
        <w:rPr>
          <w:rFonts w:ascii="Times New Roman" w:hAnsi="Times New Roman" w:cs="Times New Roman"/>
          <w:sz w:val="24"/>
          <w:szCs w:val="24"/>
        </w:rPr>
        <w:t xml:space="preserve"> </w:t>
      </w:r>
      <w:r w:rsidR="00C56876" w:rsidRPr="006D3C51">
        <w:rPr>
          <w:rFonts w:ascii="Times New Roman" w:hAnsi="Times New Roman" w:cs="Times New Roman"/>
          <w:sz w:val="24"/>
          <w:szCs w:val="24"/>
        </w:rPr>
        <w:t xml:space="preserve"> </w:t>
      </w:r>
    </w:p>
    <w:p w14:paraId="6245D750" w14:textId="3820D929" w:rsidR="00BC75C1" w:rsidRPr="006D3C51" w:rsidRDefault="00655D7C"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La identidad sexual, por tanto, está protegida por el derecho a la vida privada </w:t>
      </w:r>
      <w:r w:rsidRPr="006D3C51">
        <w:rPr>
          <w:rFonts w:ascii="Times New Roman" w:hAnsi="Times New Roman" w:cs="Times New Roman"/>
          <w:i/>
          <w:sz w:val="24"/>
          <w:szCs w:val="24"/>
        </w:rPr>
        <w:t>ex</w:t>
      </w:r>
      <w:r w:rsidRPr="006D3C51">
        <w:rPr>
          <w:rFonts w:ascii="Times New Roman" w:hAnsi="Times New Roman" w:cs="Times New Roman"/>
          <w:sz w:val="24"/>
          <w:szCs w:val="24"/>
        </w:rPr>
        <w:t xml:space="preserve"> art. 8 CEDH. Este derecho, como es habitual, tendrá que ponderarse con otros intereses, que la Corte de Estrasburgo afirmó que no tenían que ser subestimados u olvidados, entre los cuales el orden e interés publico y la seguridad jurídica e</w:t>
      </w:r>
      <w:r w:rsidR="00BC75C1" w:rsidRPr="006D3C51">
        <w:rPr>
          <w:rFonts w:ascii="Times New Roman" w:hAnsi="Times New Roman" w:cs="Times New Roman"/>
          <w:sz w:val="24"/>
          <w:szCs w:val="24"/>
        </w:rPr>
        <w:t xml:space="preserve">n ámbitos como </w:t>
      </w:r>
      <w:r w:rsidR="00C56876" w:rsidRPr="006D3C51">
        <w:rPr>
          <w:rFonts w:ascii="Times New Roman" w:hAnsi="Times New Roman" w:cs="Times New Roman"/>
          <w:sz w:val="24"/>
          <w:szCs w:val="24"/>
        </w:rPr>
        <w:t xml:space="preserve">el acceso a los registros, el Derecho de familia, la filiación, la sucesión, la seguridad social o los seguros. Sin embargo, estos problemas </w:t>
      </w:r>
      <w:r w:rsidR="00BC75C1" w:rsidRPr="006D3C51">
        <w:rPr>
          <w:rFonts w:ascii="Times New Roman" w:hAnsi="Times New Roman" w:cs="Times New Roman"/>
          <w:sz w:val="24"/>
          <w:szCs w:val="24"/>
        </w:rPr>
        <w:t>“</w:t>
      </w:r>
      <w:r w:rsidR="00C56876" w:rsidRPr="006D3C51">
        <w:rPr>
          <w:rFonts w:ascii="Times New Roman" w:hAnsi="Times New Roman" w:cs="Times New Roman"/>
          <w:i/>
          <w:sz w:val="24"/>
          <w:szCs w:val="24"/>
        </w:rPr>
        <w:t>no son</w:t>
      </w:r>
      <w:r w:rsidR="00BC75C1" w:rsidRPr="006D3C51">
        <w:rPr>
          <w:rFonts w:ascii="Times New Roman" w:hAnsi="Times New Roman" w:cs="Times New Roman"/>
          <w:i/>
          <w:sz w:val="24"/>
          <w:szCs w:val="24"/>
        </w:rPr>
        <w:t xml:space="preserve"> […]</w:t>
      </w:r>
      <w:r w:rsidR="00C56876" w:rsidRPr="006D3C51">
        <w:rPr>
          <w:rFonts w:ascii="Times New Roman" w:hAnsi="Times New Roman" w:cs="Times New Roman"/>
          <w:i/>
          <w:sz w:val="24"/>
          <w:szCs w:val="24"/>
        </w:rPr>
        <w:t xml:space="preserve"> insuperables</w:t>
      </w:r>
      <w:r w:rsidR="00BC75C1" w:rsidRPr="006D3C51">
        <w:rPr>
          <w:rFonts w:ascii="Times New Roman" w:hAnsi="Times New Roman" w:cs="Times New Roman"/>
          <w:sz w:val="24"/>
          <w:szCs w:val="24"/>
        </w:rPr>
        <w:t>”</w:t>
      </w:r>
      <w:r w:rsidR="00C56876" w:rsidRPr="006D3C51">
        <w:rPr>
          <w:rFonts w:ascii="Times New Roman" w:hAnsi="Times New Roman" w:cs="Times New Roman"/>
          <w:sz w:val="24"/>
          <w:szCs w:val="24"/>
        </w:rPr>
        <w:t xml:space="preserve">. </w:t>
      </w:r>
      <w:r w:rsidR="00F2745C" w:rsidRPr="006D3C51">
        <w:rPr>
          <w:rFonts w:ascii="Times New Roman" w:hAnsi="Times New Roman" w:cs="Times New Roman"/>
          <w:sz w:val="24"/>
          <w:szCs w:val="24"/>
        </w:rPr>
        <w:t>Y añadió que “</w:t>
      </w:r>
      <w:r w:rsidR="00F2745C" w:rsidRPr="006D3C51">
        <w:rPr>
          <w:rFonts w:ascii="Times New Roman" w:hAnsi="Times New Roman" w:cs="Times New Roman"/>
          <w:i/>
          <w:sz w:val="24"/>
          <w:szCs w:val="24"/>
        </w:rPr>
        <w:t>[d]</w:t>
      </w:r>
      <w:proofErr w:type="spellStart"/>
      <w:r w:rsidR="00F2745C" w:rsidRPr="006D3C51">
        <w:rPr>
          <w:rFonts w:ascii="Times New Roman" w:hAnsi="Times New Roman" w:cs="Times New Roman"/>
          <w:i/>
          <w:sz w:val="24"/>
          <w:szCs w:val="24"/>
        </w:rPr>
        <w:t>e</w:t>
      </w:r>
      <w:proofErr w:type="spellEnd"/>
      <w:r w:rsidR="00F2745C" w:rsidRPr="006D3C51">
        <w:rPr>
          <w:rFonts w:ascii="Times New Roman" w:hAnsi="Times New Roman" w:cs="Times New Roman"/>
          <w:i/>
          <w:sz w:val="24"/>
          <w:szCs w:val="24"/>
        </w:rPr>
        <w:t xml:space="preserve"> hecho, no </w:t>
      </w:r>
      <w:r w:rsidR="00F2745C" w:rsidRPr="006D3C51">
        <w:rPr>
          <w:rFonts w:ascii="Times New Roman" w:hAnsi="Times New Roman" w:cs="Times New Roman"/>
          <w:i/>
          <w:sz w:val="24"/>
          <w:szCs w:val="24"/>
        </w:rPr>
        <w:lastRenderedPageBreak/>
        <w:t>se ha demostrado que un cambio en la condición de transexuales pueda causar dificultades o perjuicios concretos o significativos para el interés público. En cuanto a las demás posibles consecuencias, la Corte considera que es razonable esperar que la sociedad acepte ciertos inconvenientes para que las personas puedan vivir con dignidad y respeto, de acuerdo con la identidad sexual elegida por ellos a costa de grandes sufrimientos</w:t>
      </w:r>
      <w:r w:rsidR="00F2745C" w:rsidRPr="006D3C51">
        <w:rPr>
          <w:rFonts w:ascii="Times New Roman" w:hAnsi="Times New Roman" w:cs="Times New Roman"/>
          <w:sz w:val="24"/>
          <w:szCs w:val="24"/>
        </w:rPr>
        <w:t>”</w:t>
      </w:r>
      <w:r w:rsidR="00670948" w:rsidRPr="006D3C51">
        <w:rPr>
          <w:rFonts w:ascii="Times New Roman" w:hAnsi="Times New Roman" w:cs="Times New Roman"/>
          <w:sz w:val="24"/>
          <w:szCs w:val="24"/>
        </w:rPr>
        <w:t xml:space="preserve"> (</w:t>
      </w:r>
      <w:r w:rsidR="00B9640F" w:rsidRPr="006D3C51">
        <w:rPr>
          <w:rFonts w:ascii="Times New Roman" w:hAnsi="Times New Roman" w:cs="Times New Roman"/>
          <w:sz w:val="24"/>
          <w:szCs w:val="24"/>
        </w:rPr>
        <w:t>§</w:t>
      </w:r>
      <w:r w:rsidR="00B9640F">
        <w:rPr>
          <w:rFonts w:ascii="Times New Roman" w:hAnsi="Times New Roman" w:cs="Times New Roman"/>
          <w:sz w:val="24"/>
          <w:szCs w:val="24"/>
        </w:rPr>
        <w:t xml:space="preserve"> </w:t>
      </w:r>
      <w:r w:rsidR="00670948" w:rsidRPr="006D3C51">
        <w:rPr>
          <w:rFonts w:ascii="Times New Roman" w:hAnsi="Times New Roman" w:cs="Times New Roman"/>
          <w:sz w:val="24"/>
          <w:szCs w:val="24"/>
        </w:rPr>
        <w:t>91)</w:t>
      </w:r>
      <w:r w:rsidR="00F2745C" w:rsidRPr="006D3C51">
        <w:rPr>
          <w:rFonts w:ascii="Times New Roman" w:hAnsi="Times New Roman" w:cs="Times New Roman"/>
          <w:sz w:val="24"/>
          <w:szCs w:val="24"/>
        </w:rPr>
        <w:t>.</w:t>
      </w:r>
    </w:p>
    <w:p w14:paraId="37F4EA88" w14:textId="2A8B76EB" w:rsidR="00184AE8" w:rsidRPr="006D3C51" w:rsidRDefault="00EF2D8B"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Asimismo, </w:t>
      </w:r>
      <w:r w:rsidR="00184AE8" w:rsidRPr="006D3C51">
        <w:rPr>
          <w:rFonts w:ascii="Times New Roman" w:hAnsi="Times New Roman" w:cs="Times New Roman"/>
          <w:sz w:val="24"/>
          <w:szCs w:val="24"/>
        </w:rPr>
        <w:t xml:space="preserve">el Reino Unido, que ya había sido demandado en muchas ocasiones por cuestiones similares, no había adecuado su legislación a las exigencias del colectivo trans en consideración de la evolución de la ciencia y de la sociedad sobre este tema. Por esta razón, el Estado demandado </w:t>
      </w:r>
      <w:r w:rsidR="00C56876" w:rsidRPr="006D3C51">
        <w:rPr>
          <w:rFonts w:ascii="Times New Roman" w:hAnsi="Times New Roman" w:cs="Times New Roman"/>
          <w:sz w:val="24"/>
          <w:szCs w:val="24"/>
        </w:rPr>
        <w:t>ya no p</w:t>
      </w:r>
      <w:r w:rsidR="00184AE8" w:rsidRPr="006D3C51">
        <w:rPr>
          <w:rFonts w:ascii="Times New Roman" w:hAnsi="Times New Roman" w:cs="Times New Roman"/>
          <w:sz w:val="24"/>
          <w:szCs w:val="24"/>
        </w:rPr>
        <w:t>odía</w:t>
      </w:r>
      <w:r w:rsidR="00C56876" w:rsidRPr="006D3C51">
        <w:rPr>
          <w:rFonts w:ascii="Times New Roman" w:hAnsi="Times New Roman" w:cs="Times New Roman"/>
          <w:sz w:val="24"/>
          <w:szCs w:val="24"/>
        </w:rPr>
        <w:t xml:space="preserve"> invocar su margen de apreciación en la materia, excepto en lo concerniente a los medios que deben aplicarse para asegurar el reconocimiento del derecho protegido por el Convenio</w:t>
      </w:r>
      <w:r w:rsidR="00670948" w:rsidRPr="006D3C51">
        <w:rPr>
          <w:rFonts w:ascii="Times New Roman" w:hAnsi="Times New Roman" w:cs="Times New Roman"/>
          <w:sz w:val="24"/>
          <w:szCs w:val="24"/>
        </w:rPr>
        <w:t xml:space="preserve"> (</w:t>
      </w:r>
      <w:r w:rsidR="00B9640F" w:rsidRPr="006D3C51">
        <w:rPr>
          <w:rFonts w:ascii="Times New Roman" w:hAnsi="Times New Roman" w:cs="Times New Roman"/>
          <w:sz w:val="24"/>
          <w:szCs w:val="24"/>
        </w:rPr>
        <w:t>§§</w:t>
      </w:r>
      <w:r w:rsidR="00B9640F">
        <w:rPr>
          <w:rFonts w:ascii="Times New Roman" w:hAnsi="Times New Roman" w:cs="Times New Roman"/>
          <w:sz w:val="24"/>
          <w:szCs w:val="24"/>
        </w:rPr>
        <w:t xml:space="preserve"> </w:t>
      </w:r>
      <w:r w:rsidR="00670948" w:rsidRPr="006D3C51">
        <w:rPr>
          <w:rFonts w:ascii="Times New Roman" w:hAnsi="Times New Roman" w:cs="Times New Roman"/>
          <w:sz w:val="24"/>
          <w:szCs w:val="24"/>
        </w:rPr>
        <w:t>92-93)</w:t>
      </w:r>
      <w:r w:rsidR="00C56876" w:rsidRPr="006D3C51">
        <w:rPr>
          <w:rFonts w:ascii="Times New Roman" w:hAnsi="Times New Roman" w:cs="Times New Roman"/>
          <w:sz w:val="24"/>
          <w:szCs w:val="24"/>
        </w:rPr>
        <w:t xml:space="preserve">. </w:t>
      </w:r>
    </w:p>
    <w:p w14:paraId="77DA899F" w14:textId="76C4BB4D" w:rsidR="00E45B70" w:rsidRPr="006D3C51" w:rsidRDefault="00E45B70"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El TEDH, por vez primera, modificó </w:t>
      </w:r>
      <w:r w:rsidR="00670948" w:rsidRPr="006D3C51">
        <w:rPr>
          <w:rFonts w:ascii="Times New Roman" w:hAnsi="Times New Roman" w:cs="Times New Roman"/>
          <w:sz w:val="24"/>
          <w:szCs w:val="24"/>
        </w:rPr>
        <w:t xml:space="preserve">entonces </w:t>
      </w:r>
      <w:r w:rsidRPr="006D3C51">
        <w:rPr>
          <w:rFonts w:ascii="Times New Roman" w:hAnsi="Times New Roman" w:cs="Times New Roman"/>
          <w:sz w:val="24"/>
          <w:szCs w:val="24"/>
        </w:rPr>
        <w:t xml:space="preserve">su anterior ponderación entre el interés público y el interés de la demandante transexual a conseguir el reconocimiento legal de su reasignación de género, </w:t>
      </w:r>
      <w:r w:rsidR="00670948" w:rsidRPr="006D3C51">
        <w:rPr>
          <w:rFonts w:ascii="Times New Roman" w:hAnsi="Times New Roman" w:cs="Times New Roman"/>
          <w:sz w:val="24"/>
          <w:szCs w:val="24"/>
        </w:rPr>
        <w:t>reconociendo</w:t>
      </w:r>
      <w:r w:rsidRPr="006D3C51">
        <w:rPr>
          <w:rFonts w:ascii="Times New Roman" w:hAnsi="Times New Roman" w:cs="Times New Roman"/>
          <w:sz w:val="24"/>
          <w:szCs w:val="24"/>
        </w:rPr>
        <w:t xml:space="preserve"> prevalencia a los derechos e intereses de la Sra. Goodwin y afirmando que el Reino Unido violó el art. 8 CEDH</w:t>
      </w:r>
      <w:r w:rsidR="00764A3F" w:rsidRPr="006D3C51">
        <w:rPr>
          <w:rStyle w:val="Refdenotaalpie"/>
          <w:rFonts w:ascii="Times New Roman" w:hAnsi="Times New Roman" w:cs="Times New Roman"/>
          <w:sz w:val="24"/>
          <w:szCs w:val="24"/>
        </w:rPr>
        <w:footnoteReference w:id="25"/>
      </w:r>
      <w:r w:rsidR="00B9640F">
        <w:rPr>
          <w:rFonts w:ascii="Times New Roman" w:hAnsi="Times New Roman" w:cs="Times New Roman"/>
          <w:sz w:val="24"/>
          <w:szCs w:val="24"/>
        </w:rPr>
        <w:t>.</w:t>
      </w:r>
      <w:r w:rsidRPr="006D3C51">
        <w:rPr>
          <w:rFonts w:ascii="Times New Roman" w:hAnsi="Times New Roman" w:cs="Times New Roman"/>
          <w:sz w:val="24"/>
          <w:szCs w:val="24"/>
        </w:rPr>
        <w:t xml:space="preserve"> </w:t>
      </w:r>
    </w:p>
    <w:p w14:paraId="319F5D76" w14:textId="1AE2C664" w:rsidR="007F130D" w:rsidRPr="006D3C51" w:rsidRDefault="007F130D"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El margen de apreciación nacional y la protección del interés nacional cedieron, por tanto, ante la necesidad de proteger la dignidad, el libre desarrollo de la personalidad y el derecho a la identidad sexual de las personas transexuales, en consideración de la evolución de la conciencia social y de los conocimientos médicos y psicológicos relativos a la transexualidad</w:t>
      </w:r>
      <w:r w:rsidR="00BD0380" w:rsidRPr="006D3C51">
        <w:rPr>
          <w:rStyle w:val="Refdenotaalpie"/>
          <w:rFonts w:ascii="Times New Roman" w:hAnsi="Times New Roman" w:cs="Times New Roman"/>
          <w:sz w:val="24"/>
          <w:szCs w:val="24"/>
        </w:rPr>
        <w:footnoteReference w:id="26"/>
      </w:r>
      <w:r w:rsidR="00B9640F">
        <w:rPr>
          <w:rFonts w:ascii="Times New Roman" w:hAnsi="Times New Roman" w:cs="Times New Roman"/>
          <w:sz w:val="24"/>
          <w:szCs w:val="24"/>
        </w:rPr>
        <w:t>.</w:t>
      </w:r>
      <w:r w:rsidRPr="006D3C51">
        <w:rPr>
          <w:rFonts w:ascii="Times New Roman" w:hAnsi="Times New Roman" w:cs="Times New Roman"/>
          <w:sz w:val="24"/>
          <w:szCs w:val="24"/>
        </w:rPr>
        <w:t xml:space="preserve"> </w:t>
      </w:r>
    </w:p>
    <w:p w14:paraId="69C1C03C" w14:textId="53D9E936" w:rsidR="00C56876" w:rsidRPr="006D3C51" w:rsidRDefault="0033218F"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También en el caso </w:t>
      </w:r>
      <w:r w:rsidRPr="00781D53">
        <w:rPr>
          <w:rFonts w:ascii="Times New Roman" w:hAnsi="Times New Roman" w:cs="Times New Roman"/>
          <w:i/>
          <w:sz w:val="24"/>
          <w:szCs w:val="24"/>
        </w:rPr>
        <w:t xml:space="preserve">Van </w:t>
      </w:r>
      <w:proofErr w:type="spellStart"/>
      <w:r w:rsidRPr="00781D53">
        <w:rPr>
          <w:rFonts w:ascii="Times New Roman" w:hAnsi="Times New Roman" w:cs="Times New Roman"/>
          <w:i/>
          <w:sz w:val="24"/>
          <w:szCs w:val="24"/>
        </w:rPr>
        <w:t>Kück</w:t>
      </w:r>
      <w:proofErr w:type="spellEnd"/>
      <w:r w:rsidRPr="00781D53">
        <w:rPr>
          <w:rFonts w:ascii="Times New Roman" w:hAnsi="Times New Roman" w:cs="Times New Roman"/>
          <w:i/>
          <w:sz w:val="24"/>
          <w:szCs w:val="24"/>
        </w:rPr>
        <w:t xml:space="preserve"> c. Alemania</w:t>
      </w:r>
      <w:r w:rsidRPr="006D3C51">
        <w:rPr>
          <w:rFonts w:ascii="Times New Roman" w:hAnsi="Times New Roman" w:cs="Times New Roman"/>
          <w:sz w:val="24"/>
          <w:szCs w:val="24"/>
        </w:rPr>
        <w:t>, de 12 de junio de 20</w:t>
      </w:r>
      <w:r w:rsidR="0021304F" w:rsidRPr="006D3C51">
        <w:rPr>
          <w:rFonts w:ascii="Times New Roman" w:hAnsi="Times New Roman" w:cs="Times New Roman"/>
          <w:sz w:val="24"/>
          <w:szCs w:val="24"/>
        </w:rPr>
        <w:t>0</w:t>
      </w:r>
      <w:r w:rsidRPr="006D3C51">
        <w:rPr>
          <w:rFonts w:ascii="Times New Roman" w:hAnsi="Times New Roman" w:cs="Times New Roman"/>
          <w:sz w:val="24"/>
          <w:szCs w:val="24"/>
        </w:rPr>
        <w:t>3</w:t>
      </w:r>
      <w:r w:rsidR="00DB74A9" w:rsidRPr="006D3C51">
        <w:rPr>
          <w:rStyle w:val="Refdenotaalpie"/>
          <w:rFonts w:ascii="Times New Roman" w:hAnsi="Times New Roman" w:cs="Times New Roman"/>
          <w:sz w:val="24"/>
          <w:szCs w:val="24"/>
        </w:rPr>
        <w:footnoteReference w:id="27"/>
      </w:r>
      <w:r w:rsidR="00B9640F">
        <w:rPr>
          <w:rFonts w:ascii="Times New Roman" w:hAnsi="Times New Roman" w:cs="Times New Roman"/>
          <w:sz w:val="24"/>
          <w:szCs w:val="24"/>
        </w:rPr>
        <w:t>,</w:t>
      </w:r>
      <w:r w:rsidRPr="006D3C51">
        <w:rPr>
          <w:rFonts w:ascii="Times New Roman" w:hAnsi="Times New Roman" w:cs="Times New Roman"/>
          <w:sz w:val="24"/>
          <w:szCs w:val="24"/>
        </w:rPr>
        <w:t xml:space="preserve"> relativo esta vez a la denegación del reembolso de intervención de reasignación de sexo contra una compañía de seguros de salud privada, </w:t>
      </w:r>
      <w:r w:rsidR="00DF3B48" w:rsidRPr="006D3C51">
        <w:rPr>
          <w:rFonts w:ascii="Times New Roman" w:hAnsi="Times New Roman" w:cs="Times New Roman"/>
          <w:sz w:val="24"/>
          <w:szCs w:val="24"/>
        </w:rPr>
        <w:t xml:space="preserve">el Tribunal reiteró </w:t>
      </w:r>
      <w:r w:rsidR="00DB74A9" w:rsidRPr="006D3C51">
        <w:rPr>
          <w:rFonts w:ascii="Times New Roman" w:hAnsi="Times New Roman" w:cs="Times New Roman"/>
          <w:sz w:val="24"/>
          <w:szCs w:val="24"/>
        </w:rPr>
        <w:t xml:space="preserve">y así consolidó </w:t>
      </w:r>
      <w:r w:rsidR="00DF3B48" w:rsidRPr="006D3C51">
        <w:rPr>
          <w:rFonts w:ascii="Times New Roman" w:hAnsi="Times New Roman" w:cs="Times New Roman"/>
          <w:sz w:val="24"/>
          <w:szCs w:val="24"/>
        </w:rPr>
        <w:t xml:space="preserve">las afirmaciones contenidas en las sentencias de 2002. </w:t>
      </w:r>
      <w:r w:rsidR="00911B1B" w:rsidRPr="006D3C51">
        <w:rPr>
          <w:rFonts w:ascii="Times New Roman" w:hAnsi="Times New Roman" w:cs="Times New Roman"/>
          <w:sz w:val="24"/>
          <w:szCs w:val="24"/>
        </w:rPr>
        <w:t>En particular,</w:t>
      </w:r>
      <w:r w:rsidR="00AD767A" w:rsidRPr="006D3C51">
        <w:rPr>
          <w:rFonts w:ascii="Times New Roman" w:hAnsi="Times New Roman" w:cs="Times New Roman"/>
          <w:sz w:val="24"/>
          <w:szCs w:val="24"/>
        </w:rPr>
        <w:t xml:space="preserve"> sin que interese ahora entrar en el fondo de la cuestión, sino, antes bien, </w:t>
      </w:r>
      <w:r w:rsidR="00C524B3" w:rsidRPr="006D3C51">
        <w:rPr>
          <w:rFonts w:ascii="Times New Roman" w:hAnsi="Times New Roman" w:cs="Times New Roman"/>
          <w:sz w:val="24"/>
          <w:szCs w:val="24"/>
        </w:rPr>
        <w:t>examinar la evolución de la jurisprudencia del TEDH respecto de la protección del colectivo trans,</w:t>
      </w:r>
      <w:r w:rsidR="00911B1B" w:rsidRPr="006D3C51">
        <w:rPr>
          <w:rFonts w:ascii="Times New Roman" w:hAnsi="Times New Roman" w:cs="Times New Roman"/>
          <w:sz w:val="24"/>
          <w:szCs w:val="24"/>
        </w:rPr>
        <w:t xml:space="preserve"> el Tribunal declaró que la identidad de género es uno de los aspectos más íntimos de la vida privada de una persona y que, por tanto, parece desproporcionado exigir a una persona en tal situación que demuestre la necesidad médica del tratamiento, incluso si se trata de una cirugía irreversible</w:t>
      </w:r>
      <w:r w:rsidR="00DB74A9" w:rsidRPr="006D3C51">
        <w:rPr>
          <w:rFonts w:ascii="Times New Roman" w:hAnsi="Times New Roman" w:cs="Times New Roman"/>
          <w:sz w:val="24"/>
          <w:szCs w:val="24"/>
        </w:rPr>
        <w:t xml:space="preserve"> (</w:t>
      </w:r>
      <w:r w:rsidR="00B9640F" w:rsidRPr="006D3C51">
        <w:rPr>
          <w:rFonts w:ascii="Times New Roman" w:hAnsi="Times New Roman" w:cs="Times New Roman"/>
          <w:sz w:val="24"/>
          <w:szCs w:val="24"/>
        </w:rPr>
        <w:t>§</w:t>
      </w:r>
      <w:r w:rsidR="00B9640F">
        <w:rPr>
          <w:rFonts w:ascii="Times New Roman" w:hAnsi="Times New Roman" w:cs="Times New Roman"/>
          <w:sz w:val="24"/>
          <w:szCs w:val="24"/>
        </w:rPr>
        <w:t xml:space="preserve"> </w:t>
      </w:r>
      <w:r w:rsidR="00DB74A9" w:rsidRPr="006D3C51">
        <w:rPr>
          <w:rFonts w:ascii="Times New Roman" w:hAnsi="Times New Roman" w:cs="Times New Roman"/>
          <w:sz w:val="24"/>
          <w:szCs w:val="24"/>
        </w:rPr>
        <w:t>56)</w:t>
      </w:r>
      <w:r w:rsidR="00911B1B" w:rsidRPr="006D3C51">
        <w:rPr>
          <w:rFonts w:ascii="Times New Roman" w:hAnsi="Times New Roman" w:cs="Times New Roman"/>
          <w:sz w:val="24"/>
          <w:szCs w:val="24"/>
        </w:rPr>
        <w:t>.</w:t>
      </w:r>
    </w:p>
    <w:p w14:paraId="32B54528" w14:textId="0258CFB2" w:rsidR="00E1506A" w:rsidRPr="006D3C51" w:rsidRDefault="0064351D"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Al valorar la violación del art. 8 CEDH, el TEDH recordó</w:t>
      </w:r>
      <w:r w:rsidR="00AF118A" w:rsidRPr="006D3C51">
        <w:rPr>
          <w:rFonts w:ascii="Times New Roman" w:hAnsi="Times New Roman" w:cs="Times New Roman"/>
          <w:sz w:val="24"/>
          <w:szCs w:val="24"/>
        </w:rPr>
        <w:t>, mencionando su abundante doctrina,</w:t>
      </w:r>
      <w:r w:rsidRPr="006D3C51">
        <w:rPr>
          <w:rFonts w:ascii="Times New Roman" w:hAnsi="Times New Roman" w:cs="Times New Roman"/>
          <w:sz w:val="24"/>
          <w:szCs w:val="24"/>
        </w:rPr>
        <w:t xml:space="preserve"> que el concepto de “vida privada” es amplio y no susceptible de una definición exhaustiva. Entre sus contenidos encontramos</w:t>
      </w:r>
      <w:r w:rsidR="00AF118A" w:rsidRPr="006D3C51">
        <w:rPr>
          <w:rFonts w:ascii="Times New Roman" w:hAnsi="Times New Roman" w:cs="Times New Roman"/>
          <w:sz w:val="24"/>
          <w:szCs w:val="24"/>
        </w:rPr>
        <w:t>, por ejemplo,</w:t>
      </w:r>
      <w:r w:rsidRPr="006D3C51">
        <w:rPr>
          <w:rFonts w:ascii="Times New Roman" w:hAnsi="Times New Roman" w:cs="Times New Roman"/>
          <w:sz w:val="24"/>
          <w:szCs w:val="24"/>
        </w:rPr>
        <w:t xml:space="preserve"> la integridad física y moral </w:t>
      </w:r>
      <w:r w:rsidRPr="006D3C51">
        <w:rPr>
          <w:rFonts w:ascii="Times New Roman" w:hAnsi="Times New Roman" w:cs="Times New Roman"/>
          <w:sz w:val="24"/>
          <w:szCs w:val="24"/>
        </w:rPr>
        <w:lastRenderedPageBreak/>
        <w:t>de la persona</w:t>
      </w:r>
      <w:r w:rsidR="00AF118A" w:rsidRPr="006D3C51">
        <w:rPr>
          <w:rFonts w:ascii="Times New Roman" w:hAnsi="Times New Roman" w:cs="Times New Roman"/>
          <w:sz w:val="24"/>
          <w:szCs w:val="24"/>
        </w:rPr>
        <w:t xml:space="preserve">, </w:t>
      </w:r>
      <w:r w:rsidRPr="006D3C51">
        <w:rPr>
          <w:rFonts w:ascii="Times New Roman" w:hAnsi="Times New Roman" w:cs="Times New Roman"/>
          <w:sz w:val="24"/>
          <w:szCs w:val="24"/>
        </w:rPr>
        <w:t>aspectos de la identidad física y social de un individuo, la identificación de género, el nombre, la orientación sexual y la vida sexual</w:t>
      </w:r>
      <w:r w:rsidR="00AF118A" w:rsidRPr="006D3C51">
        <w:rPr>
          <w:rFonts w:ascii="Times New Roman" w:hAnsi="Times New Roman" w:cs="Times New Roman"/>
          <w:sz w:val="24"/>
          <w:szCs w:val="24"/>
        </w:rPr>
        <w:t>, además de</w:t>
      </w:r>
      <w:r w:rsidRPr="006D3C51">
        <w:rPr>
          <w:rFonts w:ascii="Times New Roman" w:hAnsi="Times New Roman" w:cs="Times New Roman"/>
          <w:sz w:val="24"/>
          <w:szCs w:val="24"/>
        </w:rPr>
        <w:t xml:space="preserve"> protege</w:t>
      </w:r>
      <w:r w:rsidR="00AF118A" w:rsidRPr="006D3C51">
        <w:rPr>
          <w:rFonts w:ascii="Times New Roman" w:hAnsi="Times New Roman" w:cs="Times New Roman"/>
          <w:sz w:val="24"/>
          <w:szCs w:val="24"/>
        </w:rPr>
        <w:t>r</w:t>
      </w:r>
      <w:r w:rsidRPr="006D3C51">
        <w:rPr>
          <w:rFonts w:ascii="Times New Roman" w:hAnsi="Times New Roman" w:cs="Times New Roman"/>
          <w:sz w:val="24"/>
          <w:szCs w:val="24"/>
        </w:rPr>
        <w:t xml:space="preserve"> el derecho al desarrollo personal y el derecho a establecer y mantener relaciones con otros seres humanos y el mundo exterior.</w:t>
      </w:r>
      <w:r w:rsidR="00B828F9" w:rsidRPr="006D3C51">
        <w:rPr>
          <w:rStyle w:val="Refdenotaalpie"/>
          <w:rFonts w:ascii="Times New Roman" w:hAnsi="Times New Roman" w:cs="Times New Roman"/>
          <w:sz w:val="24"/>
          <w:szCs w:val="24"/>
        </w:rPr>
        <w:footnoteReference w:id="28"/>
      </w:r>
      <w:r w:rsidRPr="006D3C51">
        <w:rPr>
          <w:rFonts w:ascii="Times New Roman" w:hAnsi="Times New Roman" w:cs="Times New Roman"/>
          <w:sz w:val="24"/>
          <w:szCs w:val="24"/>
        </w:rPr>
        <w:t xml:space="preserve"> Si bien</w:t>
      </w:r>
      <w:r w:rsidR="00AF118A" w:rsidRPr="006D3C51">
        <w:rPr>
          <w:rFonts w:ascii="Times New Roman" w:hAnsi="Times New Roman" w:cs="Times New Roman"/>
          <w:sz w:val="24"/>
          <w:szCs w:val="24"/>
        </w:rPr>
        <w:t>, sigue el Tribunal,</w:t>
      </w:r>
      <w:r w:rsidRPr="006D3C51">
        <w:rPr>
          <w:rFonts w:ascii="Times New Roman" w:hAnsi="Times New Roman" w:cs="Times New Roman"/>
          <w:sz w:val="24"/>
          <w:szCs w:val="24"/>
        </w:rPr>
        <w:t xml:space="preserve"> </w:t>
      </w:r>
      <w:r w:rsidR="00AF118A" w:rsidRPr="006D3C51">
        <w:rPr>
          <w:rFonts w:ascii="Times New Roman" w:hAnsi="Times New Roman" w:cs="Times New Roman"/>
          <w:sz w:val="24"/>
          <w:szCs w:val="24"/>
        </w:rPr>
        <w:t>“</w:t>
      </w:r>
      <w:r w:rsidRPr="006D3C51">
        <w:rPr>
          <w:rFonts w:ascii="Times New Roman" w:hAnsi="Times New Roman" w:cs="Times New Roman"/>
          <w:i/>
          <w:sz w:val="24"/>
          <w:szCs w:val="24"/>
        </w:rPr>
        <w:t>no se ha establecido en ningún caso anterior que el artículo 8 de la Convención incluya el derecho a la autodeterminación como tal, la Corte considera que el concepto de autonomía personal refleja un principio importante en el que se tiende a interpretar las garantías del artículo 8</w:t>
      </w:r>
      <w:r w:rsidR="00AF118A" w:rsidRPr="006D3C51">
        <w:rPr>
          <w:rFonts w:ascii="Times New Roman" w:hAnsi="Times New Roman" w:cs="Times New Roman"/>
          <w:sz w:val="24"/>
          <w:szCs w:val="24"/>
        </w:rPr>
        <w:t>”, y que, “</w:t>
      </w:r>
      <w:r w:rsidR="00AF118A" w:rsidRPr="006D3C51">
        <w:rPr>
          <w:rFonts w:ascii="Times New Roman" w:hAnsi="Times New Roman" w:cs="Times New Roman"/>
          <w:i/>
          <w:sz w:val="24"/>
          <w:szCs w:val="24"/>
        </w:rPr>
        <w:t>s</w:t>
      </w:r>
      <w:r w:rsidRPr="006D3C51">
        <w:rPr>
          <w:rFonts w:ascii="Times New Roman" w:hAnsi="Times New Roman" w:cs="Times New Roman"/>
          <w:i/>
          <w:sz w:val="24"/>
          <w:szCs w:val="24"/>
        </w:rPr>
        <w:t>iendo la dignidad y la libertad humanas la esencia misma de la Convención, el derecho al desarrollo personal y a la integridad física y moral de las personas transexuales está garantizado</w:t>
      </w:r>
      <w:r w:rsidR="00AF118A" w:rsidRPr="006D3C51">
        <w:rPr>
          <w:rFonts w:ascii="Times New Roman" w:hAnsi="Times New Roman" w:cs="Times New Roman"/>
          <w:sz w:val="24"/>
          <w:szCs w:val="24"/>
        </w:rPr>
        <w:t>”</w:t>
      </w:r>
      <w:r w:rsidR="007B7096" w:rsidRPr="006D3C51">
        <w:rPr>
          <w:rFonts w:ascii="Times New Roman" w:hAnsi="Times New Roman" w:cs="Times New Roman"/>
          <w:sz w:val="24"/>
          <w:szCs w:val="24"/>
        </w:rPr>
        <w:t xml:space="preserve"> (</w:t>
      </w:r>
      <w:r w:rsidR="006E32F2" w:rsidRPr="006D3C51">
        <w:rPr>
          <w:rFonts w:ascii="Times New Roman" w:hAnsi="Times New Roman" w:cs="Times New Roman"/>
          <w:sz w:val="24"/>
          <w:szCs w:val="24"/>
        </w:rPr>
        <w:t>§</w:t>
      </w:r>
      <w:r w:rsidR="006E32F2">
        <w:rPr>
          <w:rFonts w:ascii="Times New Roman" w:hAnsi="Times New Roman" w:cs="Times New Roman"/>
          <w:sz w:val="24"/>
          <w:szCs w:val="24"/>
        </w:rPr>
        <w:t xml:space="preserve"> </w:t>
      </w:r>
      <w:r w:rsidR="007B7096" w:rsidRPr="006D3C51">
        <w:rPr>
          <w:rFonts w:ascii="Times New Roman" w:hAnsi="Times New Roman" w:cs="Times New Roman"/>
          <w:sz w:val="24"/>
          <w:szCs w:val="24"/>
        </w:rPr>
        <w:t>69)</w:t>
      </w:r>
      <w:r w:rsidRPr="006D3C51">
        <w:rPr>
          <w:rFonts w:ascii="Times New Roman" w:hAnsi="Times New Roman" w:cs="Times New Roman"/>
          <w:sz w:val="24"/>
          <w:szCs w:val="24"/>
        </w:rPr>
        <w:t>.</w:t>
      </w:r>
    </w:p>
    <w:p w14:paraId="0729A8BA" w14:textId="1FE58BC2" w:rsidR="00F3744C" w:rsidRPr="006D3C51" w:rsidRDefault="00FF6B1E"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En el análisis de la aplicación de estos principios generales al caso concreto, el Tribunal de Estrasburgo </w:t>
      </w:r>
      <w:r w:rsidR="00C01985" w:rsidRPr="006D3C51">
        <w:rPr>
          <w:rFonts w:ascii="Times New Roman" w:hAnsi="Times New Roman" w:cs="Times New Roman"/>
          <w:sz w:val="24"/>
          <w:szCs w:val="24"/>
        </w:rPr>
        <w:t xml:space="preserve">constató que los hechos denunciados repercutieron en el derecho a la identidad sexual y al desarrollo personal de la Sra. </w:t>
      </w:r>
      <w:r w:rsidR="005A3D84" w:rsidRPr="006D3C51">
        <w:rPr>
          <w:rFonts w:ascii="Times New Roman" w:hAnsi="Times New Roman" w:cs="Times New Roman"/>
          <w:sz w:val="24"/>
          <w:szCs w:val="24"/>
        </w:rPr>
        <w:t xml:space="preserve">Van </w:t>
      </w:r>
      <w:proofErr w:type="spellStart"/>
      <w:r w:rsidR="005A3D84" w:rsidRPr="006D3C51">
        <w:rPr>
          <w:rFonts w:ascii="Times New Roman" w:hAnsi="Times New Roman" w:cs="Times New Roman"/>
          <w:sz w:val="24"/>
          <w:szCs w:val="24"/>
        </w:rPr>
        <w:t>Kück</w:t>
      </w:r>
      <w:proofErr w:type="spellEnd"/>
      <w:r w:rsidR="00C01985" w:rsidRPr="006D3C51">
        <w:rPr>
          <w:rFonts w:ascii="Times New Roman" w:hAnsi="Times New Roman" w:cs="Times New Roman"/>
          <w:sz w:val="24"/>
          <w:szCs w:val="24"/>
        </w:rPr>
        <w:t>, aspecto fundamental de su derecho al respeto de su vida privada</w:t>
      </w:r>
      <w:r w:rsidR="007B7096" w:rsidRPr="006D3C51">
        <w:rPr>
          <w:rFonts w:ascii="Times New Roman" w:hAnsi="Times New Roman" w:cs="Times New Roman"/>
          <w:sz w:val="24"/>
          <w:szCs w:val="24"/>
        </w:rPr>
        <w:t xml:space="preserve"> (</w:t>
      </w:r>
      <w:r w:rsidR="006E32F2" w:rsidRPr="006D3C51">
        <w:rPr>
          <w:rFonts w:ascii="Times New Roman" w:hAnsi="Times New Roman" w:cs="Times New Roman"/>
          <w:sz w:val="24"/>
          <w:szCs w:val="24"/>
        </w:rPr>
        <w:t>§</w:t>
      </w:r>
      <w:r w:rsidR="006E32F2">
        <w:rPr>
          <w:rFonts w:ascii="Times New Roman" w:hAnsi="Times New Roman" w:cs="Times New Roman"/>
          <w:sz w:val="24"/>
          <w:szCs w:val="24"/>
        </w:rPr>
        <w:t xml:space="preserve"> </w:t>
      </w:r>
      <w:r w:rsidR="007B7096" w:rsidRPr="006D3C51">
        <w:rPr>
          <w:rFonts w:ascii="Times New Roman" w:hAnsi="Times New Roman" w:cs="Times New Roman"/>
          <w:sz w:val="24"/>
          <w:szCs w:val="24"/>
        </w:rPr>
        <w:t>75)</w:t>
      </w:r>
      <w:r w:rsidR="00C01985" w:rsidRPr="006D3C51">
        <w:rPr>
          <w:rFonts w:ascii="Times New Roman" w:hAnsi="Times New Roman" w:cs="Times New Roman"/>
          <w:sz w:val="24"/>
          <w:szCs w:val="24"/>
        </w:rPr>
        <w:t>.</w:t>
      </w:r>
      <w:r w:rsidR="007935A8" w:rsidRPr="006D3C51">
        <w:rPr>
          <w:rFonts w:ascii="Times New Roman" w:hAnsi="Times New Roman" w:cs="Times New Roman"/>
          <w:sz w:val="24"/>
          <w:szCs w:val="24"/>
        </w:rPr>
        <w:t xml:space="preserve"> </w:t>
      </w:r>
      <w:r w:rsidR="00F3744C" w:rsidRPr="006D3C51">
        <w:rPr>
          <w:rFonts w:ascii="Times New Roman" w:hAnsi="Times New Roman" w:cs="Times New Roman"/>
          <w:sz w:val="24"/>
          <w:szCs w:val="24"/>
        </w:rPr>
        <w:t>A continuación</w:t>
      </w:r>
      <w:r w:rsidR="007935A8" w:rsidRPr="006D3C51">
        <w:rPr>
          <w:rFonts w:ascii="Times New Roman" w:hAnsi="Times New Roman" w:cs="Times New Roman"/>
          <w:sz w:val="24"/>
          <w:szCs w:val="24"/>
        </w:rPr>
        <w:t>,</w:t>
      </w:r>
      <w:r w:rsidR="00F3744C" w:rsidRPr="006D3C51">
        <w:rPr>
          <w:rFonts w:ascii="Times New Roman" w:hAnsi="Times New Roman" w:cs="Times New Roman"/>
          <w:sz w:val="24"/>
          <w:szCs w:val="24"/>
        </w:rPr>
        <w:t xml:space="preserve"> el TEDH</w:t>
      </w:r>
      <w:r w:rsidR="007B7096" w:rsidRPr="006D3C51">
        <w:rPr>
          <w:rFonts w:ascii="Times New Roman" w:hAnsi="Times New Roman" w:cs="Times New Roman"/>
          <w:sz w:val="24"/>
          <w:szCs w:val="24"/>
        </w:rPr>
        <w:t>,</w:t>
      </w:r>
      <w:r w:rsidR="007935A8" w:rsidRPr="006D3C51">
        <w:rPr>
          <w:rFonts w:ascii="Times New Roman" w:hAnsi="Times New Roman" w:cs="Times New Roman"/>
          <w:sz w:val="24"/>
          <w:szCs w:val="24"/>
        </w:rPr>
        <w:t xml:space="preserve"> </w:t>
      </w:r>
      <w:r w:rsidR="007B7096" w:rsidRPr="006D3C51">
        <w:rPr>
          <w:rFonts w:ascii="Times New Roman" w:hAnsi="Times New Roman" w:cs="Times New Roman"/>
          <w:sz w:val="24"/>
          <w:szCs w:val="24"/>
        </w:rPr>
        <w:t xml:space="preserve">esta vez sí, </w:t>
      </w:r>
      <w:r w:rsidR="00F36220" w:rsidRPr="006D3C51">
        <w:rPr>
          <w:rFonts w:ascii="Times New Roman" w:hAnsi="Times New Roman" w:cs="Times New Roman"/>
          <w:sz w:val="24"/>
          <w:szCs w:val="24"/>
        </w:rPr>
        <w:t xml:space="preserve">recordó cuanto ya afirmado en el caso </w:t>
      </w:r>
      <w:r w:rsidR="00F36220" w:rsidRPr="006D3C51">
        <w:rPr>
          <w:rFonts w:ascii="Times New Roman" w:hAnsi="Times New Roman" w:cs="Times New Roman"/>
          <w:i/>
          <w:sz w:val="24"/>
          <w:szCs w:val="24"/>
        </w:rPr>
        <w:t>B. c. Francia</w:t>
      </w:r>
      <w:r w:rsidR="00F36220" w:rsidRPr="006D3C51">
        <w:rPr>
          <w:rFonts w:ascii="Times New Roman" w:hAnsi="Times New Roman" w:cs="Times New Roman"/>
          <w:sz w:val="24"/>
          <w:szCs w:val="24"/>
        </w:rPr>
        <w:t xml:space="preserve">, a saber, </w:t>
      </w:r>
      <w:r w:rsidR="00C01985" w:rsidRPr="006D3C51">
        <w:rPr>
          <w:rFonts w:ascii="Times New Roman" w:hAnsi="Times New Roman" w:cs="Times New Roman"/>
          <w:sz w:val="24"/>
          <w:szCs w:val="24"/>
        </w:rPr>
        <w:t>que la determinación mostrada por los interesados</w:t>
      </w:r>
      <w:r w:rsidR="00F36220" w:rsidRPr="006D3C51">
        <w:rPr>
          <w:rFonts w:ascii="Times New Roman" w:hAnsi="Times New Roman" w:cs="Times New Roman"/>
          <w:sz w:val="24"/>
          <w:szCs w:val="24"/>
        </w:rPr>
        <w:t xml:space="preserve"> a los tratamientos quirúrgicos de reasignación del sexo</w:t>
      </w:r>
      <w:r w:rsidR="00C01985" w:rsidRPr="006D3C51">
        <w:rPr>
          <w:rFonts w:ascii="Times New Roman" w:hAnsi="Times New Roman" w:cs="Times New Roman"/>
          <w:sz w:val="24"/>
          <w:szCs w:val="24"/>
        </w:rPr>
        <w:t xml:space="preserve"> ​​constituye un elemento suficientemente importante para ser tomado en cuenta, junto con otros, en el contexto del artículo 8</w:t>
      </w:r>
      <w:r w:rsidR="00F36220" w:rsidRPr="006D3C51">
        <w:rPr>
          <w:rFonts w:ascii="Times New Roman" w:hAnsi="Times New Roman" w:cs="Times New Roman"/>
          <w:sz w:val="24"/>
          <w:szCs w:val="24"/>
        </w:rPr>
        <w:t xml:space="preserve"> CEDH</w:t>
      </w:r>
      <w:r w:rsidR="007B7096" w:rsidRPr="006D3C51">
        <w:rPr>
          <w:rFonts w:ascii="Times New Roman" w:hAnsi="Times New Roman" w:cs="Times New Roman"/>
          <w:sz w:val="24"/>
          <w:szCs w:val="24"/>
        </w:rPr>
        <w:t xml:space="preserve"> (</w:t>
      </w:r>
      <w:r w:rsidR="006E32F2" w:rsidRPr="006D3C51">
        <w:rPr>
          <w:rFonts w:ascii="Times New Roman" w:hAnsi="Times New Roman" w:cs="Times New Roman"/>
          <w:sz w:val="24"/>
          <w:szCs w:val="24"/>
        </w:rPr>
        <w:t>§</w:t>
      </w:r>
      <w:r w:rsidR="006E32F2">
        <w:rPr>
          <w:rFonts w:ascii="Times New Roman" w:hAnsi="Times New Roman" w:cs="Times New Roman"/>
          <w:sz w:val="24"/>
          <w:szCs w:val="24"/>
        </w:rPr>
        <w:t xml:space="preserve"> </w:t>
      </w:r>
      <w:r w:rsidR="007B7096" w:rsidRPr="006D3C51">
        <w:rPr>
          <w:rFonts w:ascii="Times New Roman" w:hAnsi="Times New Roman" w:cs="Times New Roman"/>
          <w:sz w:val="24"/>
          <w:szCs w:val="24"/>
        </w:rPr>
        <w:t>77)</w:t>
      </w:r>
      <w:r w:rsidR="00C01985" w:rsidRPr="006D3C51">
        <w:rPr>
          <w:rFonts w:ascii="Times New Roman" w:hAnsi="Times New Roman" w:cs="Times New Roman"/>
          <w:sz w:val="24"/>
          <w:szCs w:val="24"/>
        </w:rPr>
        <w:t xml:space="preserve">. </w:t>
      </w:r>
      <w:r w:rsidR="00F3744C" w:rsidRPr="006D3C51">
        <w:rPr>
          <w:rFonts w:ascii="Times New Roman" w:hAnsi="Times New Roman" w:cs="Times New Roman"/>
          <w:sz w:val="24"/>
          <w:szCs w:val="24"/>
        </w:rPr>
        <w:t xml:space="preserve">Finalmente, el Tribunal declaró que fue desproporcionado exigir a </w:t>
      </w:r>
      <w:r w:rsidR="007B7096" w:rsidRPr="006D3C51">
        <w:rPr>
          <w:rFonts w:ascii="Times New Roman" w:hAnsi="Times New Roman" w:cs="Times New Roman"/>
          <w:sz w:val="24"/>
          <w:szCs w:val="24"/>
        </w:rPr>
        <w:t>una</w:t>
      </w:r>
      <w:r w:rsidR="00F3744C" w:rsidRPr="006D3C51">
        <w:rPr>
          <w:rFonts w:ascii="Times New Roman" w:hAnsi="Times New Roman" w:cs="Times New Roman"/>
          <w:sz w:val="24"/>
          <w:szCs w:val="24"/>
        </w:rPr>
        <w:t xml:space="preserve"> persona que dem</w:t>
      </w:r>
      <w:r w:rsidR="007B7096" w:rsidRPr="006D3C51">
        <w:rPr>
          <w:rFonts w:ascii="Times New Roman" w:hAnsi="Times New Roman" w:cs="Times New Roman"/>
          <w:sz w:val="24"/>
          <w:szCs w:val="24"/>
        </w:rPr>
        <w:t>ostrara</w:t>
      </w:r>
      <w:r w:rsidR="00F3744C" w:rsidRPr="006D3C51">
        <w:rPr>
          <w:rFonts w:ascii="Times New Roman" w:hAnsi="Times New Roman" w:cs="Times New Roman"/>
          <w:sz w:val="24"/>
          <w:szCs w:val="24"/>
        </w:rPr>
        <w:t xml:space="preserve"> la naturaleza médicamente necesaria del tratamiento de reconversión del sexo, dado que está en juego uno de los aspectos más íntimos de su vida privada</w:t>
      </w:r>
      <w:r w:rsidR="006211AB" w:rsidRPr="006D3C51">
        <w:rPr>
          <w:rFonts w:ascii="Times New Roman" w:hAnsi="Times New Roman" w:cs="Times New Roman"/>
          <w:sz w:val="24"/>
          <w:szCs w:val="24"/>
        </w:rPr>
        <w:t xml:space="preserve"> (</w:t>
      </w:r>
      <w:r w:rsidR="006E32F2" w:rsidRPr="006D3C51">
        <w:rPr>
          <w:rFonts w:ascii="Times New Roman" w:hAnsi="Times New Roman" w:cs="Times New Roman"/>
          <w:sz w:val="24"/>
          <w:szCs w:val="24"/>
        </w:rPr>
        <w:t>§</w:t>
      </w:r>
      <w:r w:rsidR="006E32F2">
        <w:rPr>
          <w:rFonts w:ascii="Times New Roman" w:hAnsi="Times New Roman" w:cs="Times New Roman"/>
          <w:sz w:val="24"/>
          <w:szCs w:val="24"/>
        </w:rPr>
        <w:t xml:space="preserve"> </w:t>
      </w:r>
      <w:r w:rsidR="006211AB" w:rsidRPr="006D3C51">
        <w:rPr>
          <w:rFonts w:ascii="Times New Roman" w:hAnsi="Times New Roman" w:cs="Times New Roman"/>
          <w:sz w:val="24"/>
          <w:szCs w:val="24"/>
        </w:rPr>
        <w:t>82)</w:t>
      </w:r>
      <w:r w:rsidR="00F3744C" w:rsidRPr="006D3C51">
        <w:rPr>
          <w:rFonts w:ascii="Times New Roman" w:hAnsi="Times New Roman" w:cs="Times New Roman"/>
          <w:sz w:val="24"/>
          <w:szCs w:val="24"/>
        </w:rPr>
        <w:t>.</w:t>
      </w:r>
    </w:p>
    <w:p w14:paraId="3866292A" w14:textId="39D8B075" w:rsidR="00513486" w:rsidRPr="006D3C51" w:rsidRDefault="00513486"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El Tribunal cumplió, como es evidente, unos pasos enormes en la dirección del reconocimiento de los derechos de las personas transexuales, aunque, por ahora, solo de aquellos que se hubieran sometido a intervenciones quirúrgicas</w:t>
      </w:r>
      <w:r w:rsidR="00F3191D" w:rsidRPr="006D3C51">
        <w:rPr>
          <w:rFonts w:ascii="Times New Roman" w:hAnsi="Times New Roman" w:cs="Times New Roman"/>
          <w:sz w:val="24"/>
          <w:szCs w:val="24"/>
        </w:rPr>
        <w:t xml:space="preserve"> para adecuar el sexo biológico a su identidad sexual</w:t>
      </w:r>
      <w:r w:rsidRPr="006D3C51">
        <w:rPr>
          <w:rFonts w:ascii="Times New Roman" w:hAnsi="Times New Roman" w:cs="Times New Roman"/>
          <w:sz w:val="24"/>
          <w:szCs w:val="24"/>
        </w:rPr>
        <w:t xml:space="preserve">. </w:t>
      </w:r>
    </w:p>
    <w:p w14:paraId="3BBD9193" w14:textId="5CFC4291" w:rsidR="0052335E" w:rsidRPr="006D3C51" w:rsidRDefault="006211AB" w:rsidP="00781D53">
      <w:pPr>
        <w:spacing w:after="0" w:line="276" w:lineRule="auto"/>
        <w:jc w:val="both"/>
        <w:rPr>
          <w:rFonts w:ascii="Times New Roman" w:hAnsi="Times New Roman" w:cs="Times New Roman"/>
          <w:sz w:val="24"/>
          <w:szCs w:val="24"/>
        </w:rPr>
      </w:pPr>
      <w:r w:rsidRPr="00D42AFC">
        <w:rPr>
          <w:rFonts w:ascii="Times New Roman" w:hAnsi="Times New Roman" w:cs="Times New Roman"/>
          <w:sz w:val="24"/>
          <w:szCs w:val="24"/>
        </w:rPr>
        <w:t xml:space="preserve">Los dos casos </w:t>
      </w:r>
      <w:r w:rsidRPr="00781D53">
        <w:rPr>
          <w:rFonts w:ascii="Times New Roman" w:hAnsi="Times New Roman" w:cs="Times New Roman"/>
          <w:sz w:val="24"/>
          <w:szCs w:val="24"/>
        </w:rPr>
        <w:t xml:space="preserve">posteriores se refieren a situaciones muy diferentes respecto de las analizadas hasta ahora. En </w:t>
      </w:r>
      <w:proofErr w:type="spellStart"/>
      <w:r w:rsidR="0052335E" w:rsidRPr="00781D53">
        <w:rPr>
          <w:rFonts w:ascii="Times New Roman" w:hAnsi="Times New Roman" w:cs="Times New Roman"/>
          <w:i/>
          <w:iCs/>
          <w:sz w:val="24"/>
          <w:szCs w:val="24"/>
        </w:rPr>
        <w:t>Parry</w:t>
      </w:r>
      <w:proofErr w:type="spellEnd"/>
      <w:r w:rsidR="0052335E" w:rsidRPr="00781D53">
        <w:rPr>
          <w:rFonts w:ascii="Times New Roman" w:hAnsi="Times New Roman" w:cs="Times New Roman"/>
          <w:i/>
          <w:iCs/>
          <w:sz w:val="24"/>
          <w:szCs w:val="24"/>
        </w:rPr>
        <w:t xml:space="preserve"> c. Reino Unido</w:t>
      </w:r>
      <w:r w:rsidRPr="00781D53">
        <w:rPr>
          <w:rFonts w:ascii="Times New Roman" w:hAnsi="Times New Roman" w:cs="Times New Roman"/>
          <w:iCs/>
          <w:sz w:val="24"/>
          <w:szCs w:val="24"/>
        </w:rPr>
        <w:t>, de</w:t>
      </w:r>
      <w:r w:rsidR="0052335E" w:rsidRPr="00781D53">
        <w:rPr>
          <w:rFonts w:ascii="Times New Roman" w:hAnsi="Times New Roman" w:cs="Times New Roman"/>
          <w:sz w:val="24"/>
          <w:szCs w:val="24"/>
        </w:rPr>
        <w:t xml:space="preserve"> 28 de noviembre de 2006</w:t>
      </w:r>
      <w:r w:rsidRPr="00781D53">
        <w:rPr>
          <w:rStyle w:val="Refdenotaalpie"/>
          <w:rFonts w:ascii="Times New Roman" w:hAnsi="Times New Roman" w:cs="Times New Roman"/>
          <w:sz w:val="24"/>
          <w:szCs w:val="24"/>
        </w:rPr>
        <w:footnoteReference w:id="29"/>
      </w:r>
      <w:r w:rsidR="006E32F2" w:rsidRPr="00781D53">
        <w:rPr>
          <w:rFonts w:ascii="Times New Roman" w:hAnsi="Times New Roman" w:cs="Times New Roman"/>
          <w:sz w:val="24"/>
          <w:szCs w:val="24"/>
        </w:rPr>
        <w:t>,</w:t>
      </w:r>
      <w:r w:rsidRPr="00781D53">
        <w:rPr>
          <w:rFonts w:ascii="Times New Roman" w:hAnsi="Times New Roman" w:cs="Times New Roman"/>
          <w:sz w:val="24"/>
          <w:szCs w:val="24"/>
        </w:rPr>
        <w:t xml:space="preserve"> y </w:t>
      </w:r>
      <w:r w:rsidRPr="00781D53">
        <w:rPr>
          <w:rFonts w:ascii="Times New Roman" w:hAnsi="Times New Roman" w:cs="Times New Roman"/>
          <w:i/>
          <w:sz w:val="24"/>
          <w:szCs w:val="24"/>
        </w:rPr>
        <w:t>R. y F. c. Reino Unido</w:t>
      </w:r>
      <w:r w:rsidRPr="00781D53">
        <w:rPr>
          <w:rFonts w:ascii="Times New Roman" w:hAnsi="Times New Roman" w:cs="Times New Roman"/>
          <w:sz w:val="24"/>
          <w:szCs w:val="24"/>
        </w:rPr>
        <w:t>, de 28 de noviembre de 2006</w:t>
      </w:r>
      <w:r w:rsidRPr="00781D53">
        <w:rPr>
          <w:rStyle w:val="Refdenotaalpie"/>
          <w:rFonts w:ascii="Times New Roman" w:hAnsi="Times New Roman" w:cs="Times New Roman"/>
          <w:sz w:val="24"/>
          <w:szCs w:val="24"/>
        </w:rPr>
        <w:footnoteReference w:id="30"/>
      </w:r>
      <w:r w:rsidR="006E32F2" w:rsidRPr="00781D53">
        <w:rPr>
          <w:rFonts w:ascii="Times New Roman" w:hAnsi="Times New Roman" w:cs="Times New Roman"/>
          <w:sz w:val="24"/>
          <w:szCs w:val="24"/>
        </w:rPr>
        <w:t>,</w:t>
      </w:r>
      <w:r w:rsidRPr="00781D53">
        <w:rPr>
          <w:rFonts w:ascii="Times New Roman" w:hAnsi="Times New Roman" w:cs="Times New Roman"/>
          <w:sz w:val="24"/>
          <w:szCs w:val="24"/>
        </w:rPr>
        <w:t xml:space="preserve"> e</w:t>
      </w:r>
      <w:r w:rsidR="00672E59" w:rsidRPr="00781D53">
        <w:rPr>
          <w:rFonts w:ascii="Times New Roman" w:hAnsi="Times New Roman" w:cs="Times New Roman"/>
          <w:sz w:val="24"/>
          <w:szCs w:val="24"/>
        </w:rPr>
        <w:t>l TEDH confirmó que la conversión automática de un matrimon</w:t>
      </w:r>
      <w:r w:rsidR="00672E59" w:rsidRPr="006D3C51">
        <w:rPr>
          <w:rFonts w:ascii="Times New Roman" w:hAnsi="Times New Roman" w:cs="Times New Roman"/>
          <w:sz w:val="24"/>
          <w:szCs w:val="24"/>
        </w:rPr>
        <w:t xml:space="preserve">io en una </w:t>
      </w:r>
      <w:r w:rsidR="00421EE3" w:rsidRPr="006D3C51">
        <w:rPr>
          <w:rFonts w:ascii="Times New Roman" w:hAnsi="Times New Roman" w:cs="Times New Roman"/>
          <w:sz w:val="24"/>
          <w:szCs w:val="24"/>
        </w:rPr>
        <w:t>unión</w:t>
      </w:r>
      <w:r w:rsidR="00672E59" w:rsidRPr="006D3C51">
        <w:rPr>
          <w:rFonts w:ascii="Times New Roman" w:hAnsi="Times New Roman" w:cs="Times New Roman"/>
          <w:sz w:val="24"/>
          <w:szCs w:val="24"/>
        </w:rPr>
        <w:t xml:space="preserve"> registrada como condición previa al reconocimiento legal de la modificación del sexo registral de uno de los dos cónyuges (</w:t>
      </w:r>
      <w:r w:rsidR="00421EE3" w:rsidRPr="006D3C51">
        <w:rPr>
          <w:rFonts w:ascii="Times New Roman" w:hAnsi="Times New Roman" w:cs="Times New Roman"/>
          <w:sz w:val="24"/>
          <w:szCs w:val="24"/>
        </w:rPr>
        <w:t>dado que dicha modificación había</w:t>
      </w:r>
      <w:r w:rsidR="00672E59" w:rsidRPr="006D3C51">
        <w:rPr>
          <w:rFonts w:ascii="Times New Roman" w:hAnsi="Times New Roman" w:cs="Times New Roman"/>
          <w:sz w:val="24"/>
          <w:szCs w:val="24"/>
        </w:rPr>
        <w:t xml:space="preserve"> trasforma</w:t>
      </w:r>
      <w:r w:rsidR="00421EE3" w:rsidRPr="006D3C51">
        <w:rPr>
          <w:rFonts w:ascii="Times New Roman" w:hAnsi="Times New Roman" w:cs="Times New Roman"/>
          <w:sz w:val="24"/>
          <w:szCs w:val="24"/>
        </w:rPr>
        <w:t>do</w:t>
      </w:r>
      <w:r w:rsidR="00672E59" w:rsidRPr="006D3C51">
        <w:rPr>
          <w:rFonts w:ascii="Times New Roman" w:hAnsi="Times New Roman" w:cs="Times New Roman"/>
          <w:sz w:val="24"/>
          <w:szCs w:val="24"/>
        </w:rPr>
        <w:t xml:space="preserve"> estos mismos en una pareja del mismo sexo) no viol</w:t>
      </w:r>
      <w:r w:rsidR="009D0742" w:rsidRPr="006D3C51">
        <w:rPr>
          <w:rFonts w:ascii="Times New Roman" w:hAnsi="Times New Roman" w:cs="Times New Roman"/>
          <w:sz w:val="24"/>
          <w:szCs w:val="24"/>
        </w:rPr>
        <w:t>ó</w:t>
      </w:r>
      <w:r w:rsidR="00672E59" w:rsidRPr="006D3C51">
        <w:rPr>
          <w:rFonts w:ascii="Times New Roman" w:hAnsi="Times New Roman" w:cs="Times New Roman"/>
          <w:sz w:val="24"/>
          <w:szCs w:val="24"/>
        </w:rPr>
        <w:t xml:space="preserve"> el CEDH. </w:t>
      </w:r>
      <w:r w:rsidR="009D0742" w:rsidRPr="006D3C51">
        <w:rPr>
          <w:rFonts w:ascii="Times New Roman" w:hAnsi="Times New Roman" w:cs="Times New Roman"/>
          <w:sz w:val="24"/>
          <w:szCs w:val="24"/>
        </w:rPr>
        <w:t>Esto porque, pese a que los demandantes debían divorciarse de acuerdo con la ley inglesa, podían continuar su relación a través de una unión civil registrada que garantizaba</w:t>
      </w:r>
      <w:r w:rsidR="00064636" w:rsidRPr="006D3C51">
        <w:rPr>
          <w:rFonts w:ascii="Times New Roman" w:hAnsi="Times New Roman" w:cs="Times New Roman"/>
          <w:sz w:val="24"/>
          <w:szCs w:val="24"/>
        </w:rPr>
        <w:t xml:space="preserve"> unos derechos y obligaciones que, si bien no eran del todo idénticos a los del matrimonio, sí eran similares</w:t>
      </w:r>
      <w:r w:rsidR="00064636" w:rsidRPr="006D3C51">
        <w:rPr>
          <w:rStyle w:val="Refdenotaalpie"/>
          <w:rFonts w:ascii="Times New Roman" w:hAnsi="Times New Roman" w:cs="Times New Roman"/>
          <w:sz w:val="24"/>
          <w:szCs w:val="24"/>
        </w:rPr>
        <w:footnoteReference w:id="31"/>
      </w:r>
      <w:r w:rsidR="006E32F2">
        <w:rPr>
          <w:rFonts w:ascii="Times New Roman" w:hAnsi="Times New Roman" w:cs="Times New Roman"/>
          <w:sz w:val="24"/>
          <w:szCs w:val="24"/>
        </w:rPr>
        <w:t>.</w:t>
      </w:r>
      <w:r w:rsidR="0033080F" w:rsidRPr="006D3C51">
        <w:rPr>
          <w:rFonts w:ascii="Times New Roman" w:hAnsi="Times New Roman" w:cs="Times New Roman"/>
          <w:sz w:val="24"/>
          <w:szCs w:val="24"/>
        </w:rPr>
        <w:t xml:space="preserve"> </w:t>
      </w:r>
      <w:r w:rsidR="009D0742" w:rsidRPr="006D3C51">
        <w:rPr>
          <w:rFonts w:ascii="Times New Roman" w:hAnsi="Times New Roman" w:cs="Times New Roman"/>
          <w:sz w:val="24"/>
          <w:szCs w:val="24"/>
        </w:rPr>
        <w:t>Así, la Corte</w:t>
      </w:r>
      <w:r w:rsidR="0033080F" w:rsidRPr="006D3C51">
        <w:rPr>
          <w:rFonts w:ascii="Times New Roman" w:hAnsi="Times New Roman" w:cs="Times New Roman"/>
          <w:sz w:val="24"/>
          <w:szCs w:val="24"/>
        </w:rPr>
        <w:t xml:space="preserve"> de Estrasburgo</w:t>
      </w:r>
      <w:r w:rsidR="009D0742" w:rsidRPr="006D3C51">
        <w:rPr>
          <w:rFonts w:ascii="Times New Roman" w:hAnsi="Times New Roman" w:cs="Times New Roman"/>
          <w:sz w:val="24"/>
          <w:szCs w:val="24"/>
        </w:rPr>
        <w:t xml:space="preserve"> declaró </w:t>
      </w:r>
      <w:r w:rsidR="009D0742" w:rsidRPr="006D3C51">
        <w:rPr>
          <w:rFonts w:ascii="Times New Roman" w:hAnsi="Times New Roman" w:cs="Times New Roman"/>
          <w:sz w:val="24"/>
          <w:szCs w:val="24"/>
        </w:rPr>
        <w:lastRenderedPageBreak/>
        <w:t>inadmisible</w:t>
      </w:r>
      <w:r w:rsidRPr="006D3C51">
        <w:rPr>
          <w:rFonts w:ascii="Times New Roman" w:hAnsi="Times New Roman" w:cs="Times New Roman"/>
          <w:sz w:val="24"/>
          <w:szCs w:val="24"/>
        </w:rPr>
        <w:t>s</w:t>
      </w:r>
      <w:r w:rsidR="009D0742" w:rsidRPr="006D3C51">
        <w:rPr>
          <w:rFonts w:ascii="Times New Roman" w:hAnsi="Times New Roman" w:cs="Times New Roman"/>
          <w:sz w:val="24"/>
          <w:szCs w:val="24"/>
        </w:rPr>
        <w:t xml:space="preserve"> la</w:t>
      </w:r>
      <w:r w:rsidRPr="006D3C51">
        <w:rPr>
          <w:rFonts w:ascii="Times New Roman" w:hAnsi="Times New Roman" w:cs="Times New Roman"/>
          <w:sz w:val="24"/>
          <w:szCs w:val="24"/>
        </w:rPr>
        <w:t>s</w:t>
      </w:r>
      <w:r w:rsidR="009D0742" w:rsidRPr="006D3C51">
        <w:rPr>
          <w:rFonts w:ascii="Times New Roman" w:hAnsi="Times New Roman" w:cs="Times New Roman"/>
          <w:sz w:val="24"/>
          <w:szCs w:val="24"/>
        </w:rPr>
        <w:t xml:space="preserve"> demanda</w:t>
      </w:r>
      <w:r w:rsidRPr="006D3C51">
        <w:rPr>
          <w:rFonts w:ascii="Times New Roman" w:hAnsi="Times New Roman" w:cs="Times New Roman"/>
          <w:sz w:val="24"/>
          <w:szCs w:val="24"/>
        </w:rPr>
        <w:t>s</w:t>
      </w:r>
      <w:r w:rsidR="0033080F" w:rsidRPr="006D3C51">
        <w:rPr>
          <w:rFonts w:ascii="Times New Roman" w:hAnsi="Times New Roman" w:cs="Times New Roman"/>
          <w:sz w:val="24"/>
          <w:szCs w:val="24"/>
        </w:rPr>
        <w:t>,</w:t>
      </w:r>
      <w:r w:rsidR="009D0742" w:rsidRPr="006D3C51">
        <w:rPr>
          <w:rFonts w:ascii="Times New Roman" w:hAnsi="Times New Roman" w:cs="Times New Roman"/>
          <w:sz w:val="24"/>
          <w:szCs w:val="24"/>
        </w:rPr>
        <w:t xml:space="preserve"> afirmando que el Estado no había dejado de otorgar el reconocimiento legal a la reasignación de género porque los demandantes podían continuar su relación a través de una </w:t>
      </w:r>
      <w:r w:rsidR="0033080F" w:rsidRPr="006D3C51">
        <w:rPr>
          <w:rFonts w:ascii="Times New Roman" w:hAnsi="Times New Roman" w:cs="Times New Roman"/>
          <w:sz w:val="24"/>
          <w:szCs w:val="24"/>
        </w:rPr>
        <w:t>unión</w:t>
      </w:r>
      <w:r w:rsidR="009D0742" w:rsidRPr="006D3C51">
        <w:rPr>
          <w:rFonts w:ascii="Times New Roman" w:hAnsi="Times New Roman" w:cs="Times New Roman"/>
          <w:sz w:val="24"/>
          <w:szCs w:val="24"/>
        </w:rPr>
        <w:t xml:space="preserve"> civil. No se reconoció</w:t>
      </w:r>
      <w:r w:rsidR="00225DC9" w:rsidRPr="006D3C51">
        <w:rPr>
          <w:rFonts w:ascii="Times New Roman" w:hAnsi="Times New Roman" w:cs="Times New Roman"/>
          <w:sz w:val="24"/>
          <w:szCs w:val="24"/>
        </w:rPr>
        <w:t xml:space="preserve"> ninguna</w:t>
      </w:r>
      <w:r w:rsidR="009D0742" w:rsidRPr="006D3C51">
        <w:rPr>
          <w:rFonts w:ascii="Times New Roman" w:hAnsi="Times New Roman" w:cs="Times New Roman"/>
          <w:sz w:val="24"/>
          <w:szCs w:val="24"/>
        </w:rPr>
        <w:t xml:space="preserve"> violación del derecho al respeto a la vida privada y familiar</w:t>
      </w:r>
      <w:r w:rsidR="0069237C" w:rsidRPr="006D3C51">
        <w:rPr>
          <w:rFonts w:ascii="Times New Roman" w:hAnsi="Times New Roman" w:cs="Times New Roman"/>
          <w:sz w:val="24"/>
          <w:szCs w:val="24"/>
        </w:rPr>
        <w:t xml:space="preserve"> (por no haberse demostrado que los efectos del ordenamiento inglés sean desproporcionados o que no se haya alcanzado el justo equilibrio entre los intereses en conflicto en el presente caso)</w:t>
      </w:r>
      <w:r w:rsidR="009D0742" w:rsidRPr="006D3C51">
        <w:rPr>
          <w:rFonts w:ascii="Times New Roman" w:hAnsi="Times New Roman" w:cs="Times New Roman"/>
          <w:sz w:val="24"/>
          <w:szCs w:val="24"/>
        </w:rPr>
        <w:t xml:space="preserve">, ni del derecho al matrimonio </w:t>
      </w:r>
      <w:r w:rsidR="00225DC9" w:rsidRPr="006D3C51">
        <w:rPr>
          <w:rFonts w:ascii="Times New Roman" w:hAnsi="Times New Roman" w:cs="Times New Roman"/>
          <w:sz w:val="24"/>
          <w:szCs w:val="24"/>
        </w:rPr>
        <w:t>(</w:t>
      </w:r>
      <w:r w:rsidR="009D0742" w:rsidRPr="006D3C51">
        <w:rPr>
          <w:rFonts w:ascii="Times New Roman" w:hAnsi="Times New Roman" w:cs="Times New Roman"/>
          <w:sz w:val="24"/>
          <w:szCs w:val="24"/>
        </w:rPr>
        <w:t>que</w:t>
      </w:r>
      <w:r w:rsidR="00225DC9" w:rsidRPr="006D3C51">
        <w:rPr>
          <w:rFonts w:ascii="Times New Roman" w:hAnsi="Times New Roman" w:cs="Times New Roman"/>
          <w:sz w:val="24"/>
          <w:szCs w:val="24"/>
        </w:rPr>
        <w:t>, en el Reino Unido, se permitía</w:t>
      </w:r>
      <w:r w:rsidR="009D0742" w:rsidRPr="006D3C51">
        <w:rPr>
          <w:rFonts w:ascii="Times New Roman" w:hAnsi="Times New Roman" w:cs="Times New Roman"/>
          <w:sz w:val="24"/>
          <w:szCs w:val="24"/>
        </w:rPr>
        <w:t xml:space="preserve"> sólo entre personas de sexo legal opuesto</w:t>
      </w:r>
      <w:r w:rsidR="00225DC9" w:rsidRPr="006D3C51">
        <w:rPr>
          <w:rFonts w:ascii="Times New Roman" w:hAnsi="Times New Roman" w:cs="Times New Roman"/>
          <w:sz w:val="24"/>
          <w:szCs w:val="24"/>
        </w:rPr>
        <w:t>)</w:t>
      </w:r>
      <w:r w:rsidR="009D0742" w:rsidRPr="006D3C51">
        <w:rPr>
          <w:rFonts w:ascii="Times New Roman" w:hAnsi="Times New Roman" w:cs="Times New Roman"/>
          <w:sz w:val="24"/>
          <w:szCs w:val="24"/>
        </w:rPr>
        <w:t xml:space="preserve">, pues </w:t>
      </w:r>
      <w:r w:rsidR="00225DC9" w:rsidRPr="006D3C51">
        <w:rPr>
          <w:rFonts w:ascii="Times New Roman" w:hAnsi="Times New Roman" w:cs="Times New Roman"/>
          <w:sz w:val="24"/>
          <w:szCs w:val="24"/>
        </w:rPr>
        <w:t>l</w:t>
      </w:r>
      <w:r w:rsidR="009D0742" w:rsidRPr="006D3C51">
        <w:rPr>
          <w:rFonts w:ascii="Times New Roman" w:hAnsi="Times New Roman" w:cs="Times New Roman"/>
          <w:sz w:val="24"/>
          <w:szCs w:val="24"/>
        </w:rPr>
        <w:t xml:space="preserve">a determinación </w:t>
      </w:r>
      <w:r w:rsidR="00225DC9" w:rsidRPr="006D3C51">
        <w:rPr>
          <w:rFonts w:ascii="Times New Roman" w:hAnsi="Times New Roman" w:cs="Times New Roman"/>
          <w:sz w:val="24"/>
          <w:szCs w:val="24"/>
        </w:rPr>
        <w:t xml:space="preserve">de estas reglas </w:t>
      </w:r>
      <w:r w:rsidR="009D0742" w:rsidRPr="006D3C51">
        <w:rPr>
          <w:rFonts w:ascii="Times New Roman" w:hAnsi="Times New Roman" w:cs="Times New Roman"/>
          <w:sz w:val="24"/>
          <w:szCs w:val="24"/>
        </w:rPr>
        <w:t xml:space="preserve">se encuentra dentro del margen de apreciación de los Estados </w:t>
      </w:r>
      <w:r w:rsidR="00225DC9" w:rsidRPr="006D3C51">
        <w:rPr>
          <w:rFonts w:ascii="Times New Roman" w:hAnsi="Times New Roman" w:cs="Times New Roman"/>
          <w:sz w:val="24"/>
          <w:szCs w:val="24"/>
        </w:rPr>
        <w:t>miembros</w:t>
      </w:r>
      <w:r w:rsidR="009D0742" w:rsidRPr="006D3C51">
        <w:rPr>
          <w:rFonts w:ascii="Times New Roman" w:hAnsi="Times New Roman" w:cs="Times New Roman"/>
          <w:sz w:val="24"/>
          <w:szCs w:val="24"/>
        </w:rPr>
        <w:t>.</w:t>
      </w:r>
    </w:p>
    <w:p w14:paraId="71013156" w14:textId="1F884825" w:rsidR="00A61B28" w:rsidRPr="006D3C51" w:rsidRDefault="00DD0986"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E</w:t>
      </w:r>
      <w:r w:rsidR="00C75028" w:rsidRPr="006D3C51">
        <w:rPr>
          <w:rFonts w:ascii="Times New Roman" w:hAnsi="Times New Roman" w:cs="Times New Roman"/>
          <w:sz w:val="24"/>
          <w:szCs w:val="24"/>
        </w:rPr>
        <w:t>l asunto</w:t>
      </w:r>
      <w:r w:rsidRPr="006D3C51">
        <w:rPr>
          <w:rFonts w:ascii="Times New Roman" w:hAnsi="Times New Roman" w:cs="Times New Roman"/>
          <w:sz w:val="24"/>
          <w:szCs w:val="24"/>
        </w:rPr>
        <w:t xml:space="preserve"> </w:t>
      </w:r>
      <w:r w:rsidR="00C75028" w:rsidRPr="00781D53">
        <w:rPr>
          <w:rFonts w:ascii="Times New Roman" w:hAnsi="Times New Roman" w:cs="Times New Roman"/>
          <w:i/>
          <w:iCs/>
          <w:sz w:val="24"/>
          <w:szCs w:val="24"/>
        </w:rPr>
        <w:t>L. c. Lituania</w:t>
      </w:r>
      <w:r w:rsidR="00C75028" w:rsidRPr="006D3C51">
        <w:rPr>
          <w:rFonts w:ascii="Times New Roman" w:hAnsi="Times New Roman" w:cs="Times New Roman"/>
          <w:sz w:val="24"/>
          <w:szCs w:val="24"/>
        </w:rPr>
        <w:t>, resuelto con sentencia de 11 de septiembre de 2007</w:t>
      </w:r>
      <w:r w:rsidR="00C75028" w:rsidRPr="006D3C51">
        <w:rPr>
          <w:rStyle w:val="Refdenotaalpie"/>
          <w:rFonts w:ascii="Times New Roman" w:hAnsi="Times New Roman" w:cs="Times New Roman"/>
          <w:sz w:val="24"/>
          <w:szCs w:val="24"/>
        </w:rPr>
        <w:footnoteReference w:id="32"/>
      </w:r>
      <w:r w:rsidR="006E32F2">
        <w:rPr>
          <w:rFonts w:ascii="Times New Roman" w:hAnsi="Times New Roman" w:cs="Times New Roman"/>
          <w:sz w:val="24"/>
          <w:szCs w:val="24"/>
        </w:rPr>
        <w:t>,</w:t>
      </w:r>
      <w:r w:rsidR="00C75028" w:rsidRPr="006D3C51">
        <w:rPr>
          <w:rFonts w:ascii="Times New Roman" w:hAnsi="Times New Roman" w:cs="Times New Roman"/>
          <w:sz w:val="24"/>
          <w:szCs w:val="24"/>
        </w:rPr>
        <w:t xml:space="preserve"> es </w:t>
      </w:r>
      <w:r w:rsidRPr="006D3C51">
        <w:rPr>
          <w:rFonts w:ascii="Times New Roman" w:hAnsi="Times New Roman" w:cs="Times New Roman"/>
          <w:sz w:val="24"/>
          <w:szCs w:val="24"/>
        </w:rPr>
        <w:t xml:space="preserve">un caso que tuvo que ver con </w:t>
      </w:r>
      <w:r w:rsidR="00E602E0" w:rsidRPr="006D3C51">
        <w:rPr>
          <w:rFonts w:ascii="Times New Roman" w:hAnsi="Times New Roman" w:cs="Times New Roman"/>
          <w:sz w:val="24"/>
          <w:szCs w:val="24"/>
        </w:rPr>
        <w:t xml:space="preserve">la falta de un marco jurídico adecuado relativo a </w:t>
      </w:r>
      <w:r w:rsidRPr="006D3C51">
        <w:rPr>
          <w:rFonts w:ascii="Times New Roman" w:hAnsi="Times New Roman" w:cs="Times New Roman"/>
          <w:sz w:val="24"/>
          <w:szCs w:val="24"/>
        </w:rPr>
        <w:t>las condiciones para acceder a la cirugía de reasignación de</w:t>
      </w:r>
      <w:r w:rsidR="00E602E0" w:rsidRPr="006D3C51">
        <w:rPr>
          <w:rFonts w:ascii="Times New Roman" w:hAnsi="Times New Roman" w:cs="Times New Roman"/>
          <w:sz w:val="24"/>
          <w:szCs w:val="24"/>
        </w:rPr>
        <w:t>l</w:t>
      </w:r>
      <w:r w:rsidRPr="006D3C51">
        <w:rPr>
          <w:rFonts w:ascii="Times New Roman" w:hAnsi="Times New Roman" w:cs="Times New Roman"/>
          <w:sz w:val="24"/>
          <w:szCs w:val="24"/>
        </w:rPr>
        <w:t xml:space="preserve"> sexo </w:t>
      </w:r>
      <w:r w:rsidR="00E602E0" w:rsidRPr="006D3C51">
        <w:rPr>
          <w:rFonts w:ascii="Times New Roman" w:hAnsi="Times New Roman" w:cs="Times New Roman"/>
          <w:sz w:val="24"/>
          <w:szCs w:val="24"/>
        </w:rPr>
        <w:t xml:space="preserve">y a la modificación de la </w:t>
      </w:r>
      <w:r w:rsidR="00A61B28" w:rsidRPr="006D3C51">
        <w:rPr>
          <w:rFonts w:ascii="Times New Roman" w:hAnsi="Times New Roman" w:cs="Times New Roman"/>
          <w:sz w:val="24"/>
          <w:szCs w:val="24"/>
        </w:rPr>
        <w:t>identificación de género en los documentos oficiales</w:t>
      </w:r>
      <w:r w:rsidR="00E602E0" w:rsidRPr="006D3C51">
        <w:rPr>
          <w:rFonts w:ascii="Times New Roman" w:hAnsi="Times New Roman" w:cs="Times New Roman"/>
          <w:sz w:val="24"/>
          <w:szCs w:val="24"/>
        </w:rPr>
        <w:t xml:space="preserve">. </w:t>
      </w:r>
      <w:r w:rsidR="00BB015D" w:rsidRPr="006D3C51">
        <w:rPr>
          <w:rFonts w:ascii="Times New Roman" w:hAnsi="Times New Roman" w:cs="Times New Roman"/>
          <w:sz w:val="24"/>
          <w:szCs w:val="24"/>
        </w:rPr>
        <w:t>En Lituania, pese a reconocerse el derecho a cambiar de sexo y de estado civil, existía una laguna en la legislación, al no haberse aprobado ningún texto que regulara las operaciones completas de reasignación de género.</w:t>
      </w:r>
    </w:p>
    <w:p w14:paraId="797CCB59" w14:textId="16F91E0A" w:rsidR="0073649E" w:rsidRPr="006D3C51" w:rsidRDefault="00C75028"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Dicha</w:t>
      </w:r>
      <w:r w:rsidR="003A7CAB" w:rsidRPr="006D3C51">
        <w:rPr>
          <w:rFonts w:ascii="Times New Roman" w:hAnsi="Times New Roman" w:cs="Times New Roman"/>
          <w:sz w:val="24"/>
          <w:szCs w:val="24"/>
        </w:rPr>
        <w:t xml:space="preserve"> laguna determin</w:t>
      </w:r>
      <w:r w:rsidRPr="006D3C51">
        <w:rPr>
          <w:rFonts w:ascii="Times New Roman" w:hAnsi="Times New Roman" w:cs="Times New Roman"/>
          <w:sz w:val="24"/>
          <w:szCs w:val="24"/>
        </w:rPr>
        <w:t>ó</w:t>
      </w:r>
      <w:r w:rsidR="003A7CAB" w:rsidRPr="006D3C51">
        <w:rPr>
          <w:rFonts w:ascii="Times New Roman" w:hAnsi="Times New Roman" w:cs="Times New Roman"/>
          <w:sz w:val="24"/>
          <w:szCs w:val="24"/>
        </w:rPr>
        <w:t xml:space="preserve"> una situación “de angustiosa incertidumbre” para el demandante en términos del desarrollo de su vida privada y en el reconocimiento de su verdadera identidad. Las restricciones presupuestarias en el sistema de salud pública, aducidas por el Gobierno para justificar su </w:t>
      </w:r>
      <w:r w:rsidR="00A413BD" w:rsidRPr="006D3C51">
        <w:rPr>
          <w:rFonts w:ascii="Times New Roman" w:hAnsi="Times New Roman" w:cs="Times New Roman"/>
          <w:sz w:val="24"/>
          <w:szCs w:val="24"/>
        </w:rPr>
        <w:t xml:space="preserve">inactividad, no constituyeron un elemento suficiente, tanto que el TEDH </w:t>
      </w:r>
      <w:r w:rsidR="003A7CAB" w:rsidRPr="006D3C51">
        <w:rPr>
          <w:rFonts w:ascii="Times New Roman" w:hAnsi="Times New Roman" w:cs="Times New Roman"/>
          <w:sz w:val="24"/>
          <w:szCs w:val="24"/>
        </w:rPr>
        <w:t>con</w:t>
      </w:r>
      <w:r w:rsidR="00A413BD" w:rsidRPr="006D3C51">
        <w:rPr>
          <w:rFonts w:ascii="Times New Roman" w:hAnsi="Times New Roman" w:cs="Times New Roman"/>
          <w:sz w:val="24"/>
          <w:szCs w:val="24"/>
        </w:rPr>
        <w:t>cluyó</w:t>
      </w:r>
      <w:r w:rsidR="003A7CAB" w:rsidRPr="006D3C51">
        <w:rPr>
          <w:rFonts w:ascii="Times New Roman" w:hAnsi="Times New Roman" w:cs="Times New Roman"/>
          <w:sz w:val="24"/>
          <w:szCs w:val="24"/>
        </w:rPr>
        <w:t xml:space="preserve"> que no se ha</w:t>
      </w:r>
      <w:r w:rsidR="00A413BD" w:rsidRPr="006D3C51">
        <w:rPr>
          <w:rFonts w:ascii="Times New Roman" w:hAnsi="Times New Roman" w:cs="Times New Roman"/>
          <w:sz w:val="24"/>
          <w:szCs w:val="24"/>
        </w:rPr>
        <w:t>bía</w:t>
      </w:r>
      <w:r w:rsidR="003A7CAB" w:rsidRPr="006D3C51">
        <w:rPr>
          <w:rFonts w:ascii="Times New Roman" w:hAnsi="Times New Roman" w:cs="Times New Roman"/>
          <w:sz w:val="24"/>
          <w:szCs w:val="24"/>
        </w:rPr>
        <w:t xml:space="preserve"> logrado un</w:t>
      </w:r>
      <w:r w:rsidR="00A413BD" w:rsidRPr="006D3C51">
        <w:rPr>
          <w:rFonts w:ascii="Times New Roman" w:hAnsi="Times New Roman" w:cs="Times New Roman"/>
          <w:sz w:val="24"/>
          <w:szCs w:val="24"/>
        </w:rPr>
        <w:t xml:space="preserve">a justa ponderación </w:t>
      </w:r>
      <w:r w:rsidR="003A7CAB" w:rsidRPr="006D3C51">
        <w:rPr>
          <w:rFonts w:ascii="Times New Roman" w:hAnsi="Times New Roman" w:cs="Times New Roman"/>
          <w:sz w:val="24"/>
          <w:szCs w:val="24"/>
        </w:rPr>
        <w:t>entre el interés general y los derechos del demandante</w:t>
      </w:r>
      <w:r w:rsidR="00A413BD" w:rsidRPr="006D3C51">
        <w:rPr>
          <w:rFonts w:ascii="Times New Roman" w:hAnsi="Times New Roman" w:cs="Times New Roman"/>
          <w:sz w:val="24"/>
          <w:szCs w:val="24"/>
        </w:rPr>
        <w:t xml:space="preserve">, provocando la violación del derecho </w:t>
      </w:r>
      <w:r w:rsidR="00A413BD" w:rsidRPr="006D3C51">
        <w:rPr>
          <w:rFonts w:ascii="Times New Roman" w:hAnsi="Times New Roman" w:cs="Times New Roman"/>
          <w:i/>
          <w:sz w:val="24"/>
          <w:szCs w:val="24"/>
        </w:rPr>
        <w:t>ex</w:t>
      </w:r>
      <w:r w:rsidR="00A413BD" w:rsidRPr="006D3C51">
        <w:rPr>
          <w:rFonts w:ascii="Times New Roman" w:hAnsi="Times New Roman" w:cs="Times New Roman"/>
          <w:sz w:val="24"/>
          <w:szCs w:val="24"/>
        </w:rPr>
        <w:t xml:space="preserve"> art. 8 CEDH de este</w:t>
      </w:r>
      <w:r w:rsidR="00AC3995" w:rsidRPr="006D3C51">
        <w:rPr>
          <w:rStyle w:val="Refdenotaalpie"/>
          <w:rFonts w:ascii="Times New Roman" w:hAnsi="Times New Roman" w:cs="Times New Roman"/>
          <w:sz w:val="24"/>
          <w:szCs w:val="24"/>
        </w:rPr>
        <w:footnoteReference w:id="33"/>
      </w:r>
      <w:r w:rsidR="006E32F2">
        <w:rPr>
          <w:rFonts w:ascii="Times New Roman" w:hAnsi="Times New Roman" w:cs="Times New Roman"/>
          <w:sz w:val="24"/>
          <w:szCs w:val="24"/>
        </w:rPr>
        <w:t>.</w:t>
      </w:r>
      <w:r w:rsidR="00A413BD" w:rsidRPr="006D3C51">
        <w:rPr>
          <w:rFonts w:ascii="Times New Roman" w:hAnsi="Times New Roman" w:cs="Times New Roman"/>
          <w:sz w:val="24"/>
          <w:szCs w:val="24"/>
        </w:rPr>
        <w:t xml:space="preserve"> </w:t>
      </w:r>
    </w:p>
    <w:p w14:paraId="63B7BFC1" w14:textId="77777777" w:rsidR="006E32F2" w:rsidRDefault="006E32F2" w:rsidP="00781D53">
      <w:pPr>
        <w:spacing w:after="0" w:line="276" w:lineRule="auto"/>
        <w:jc w:val="both"/>
        <w:rPr>
          <w:rFonts w:ascii="Times New Roman" w:hAnsi="Times New Roman" w:cs="Times New Roman"/>
          <w:b/>
          <w:bCs/>
          <w:sz w:val="24"/>
          <w:szCs w:val="24"/>
        </w:rPr>
      </w:pPr>
    </w:p>
    <w:p w14:paraId="45765FFD" w14:textId="63C3B7F6" w:rsidR="00623C04" w:rsidRDefault="00623C04" w:rsidP="00781D53">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V. El TEDH sigue intensificando la protección del colectivo transexual</w:t>
      </w:r>
      <w:r w:rsidR="001077BA">
        <w:rPr>
          <w:rFonts w:ascii="Times New Roman" w:hAnsi="Times New Roman" w:cs="Times New Roman"/>
          <w:b/>
          <w:bCs/>
          <w:sz w:val="24"/>
          <w:szCs w:val="24"/>
        </w:rPr>
        <w:t>.</w:t>
      </w:r>
      <w:r>
        <w:rPr>
          <w:rFonts w:ascii="Times New Roman" w:hAnsi="Times New Roman" w:cs="Times New Roman"/>
          <w:b/>
          <w:bCs/>
          <w:sz w:val="24"/>
          <w:szCs w:val="24"/>
        </w:rPr>
        <w:t xml:space="preserve"> </w:t>
      </w:r>
    </w:p>
    <w:p w14:paraId="05839780" w14:textId="66753341" w:rsidR="00623C04" w:rsidRDefault="00623C04" w:rsidP="00781D53">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615F1E" w:rsidRPr="006D3C51">
        <w:rPr>
          <w:rFonts w:ascii="Times New Roman" w:hAnsi="Times New Roman" w:cs="Times New Roman"/>
          <w:b/>
          <w:bCs/>
          <w:sz w:val="24"/>
          <w:szCs w:val="24"/>
        </w:rPr>
        <w:t>L</w:t>
      </w:r>
      <w:r w:rsidRPr="006D3C51">
        <w:rPr>
          <w:rFonts w:ascii="Times New Roman" w:hAnsi="Times New Roman" w:cs="Times New Roman"/>
          <w:b/>
          <w:bCs/>
          <w:sz w:val="24"/>
          <w:szCs w:val="24"/>
        </w:rPr>
        <w:t>a creciente importancia del respeto de la integridad física</w:t>
      </w:r>
      <w:r>
        <w:rPr>
          <w:rFonts w:ascii="Times New Roman" w:hAnsi="Times New Roman" w:cs="Times New Roman"/>
          <w:b/>
          <w:bCs/>
          <w:sz w:val="24"/>
          <w:szCs w:val="24"/>
        </w:rPr>
        <w:t xml:space="preserve"> de la persona trans</w:t>
      </w:r>
      <w:r w:rsidR="001077BA">
        <w:rPr>
          <w:rFonts w:ascii="Times New Roman" w:hAnsi="Times New Roman" w:cs="Times New Roman"/>
          <w:b/>
          <w:bCs/>
          <w:sz w:val="24"/>
          <w:szCs w:val="24"/>
        </w:rPr>
        <w:t>.</w:t>
      </w:r>
    </w:p>
    <w:p w14:paraId="132FA6D6" w14:textId="77777777" w:rsidR="00623C04" w:rsidRDefault="00623C04" w:rsidP="00781D53">
      <w:pPr>
        <w:spacing w:after="0" w:line="276" w:lineRule="auto"/>
        <w:jc w:val="both"/>
        <w:rPr>
          <w:rFonts w:ascii="Times New Roman" w:hAnsi="Times New Roman" w:cs="Times New Roman"/>
          <w:bCs/>
          <w:sz w:val="24"/>
          <w:szCs w:val="24"/>
        </w:rPr>
      </w:pPr>
    </w:p>
    <w:p w14:paraId="596EB737" w14:textId="11D2C742" w:rsidR="007E22F4" w:rsidRPr="006D3C51" w:rsidRDefault="00615F1E" w:rsidP="00781D53">
      <w:pPr>
        <w:spacing w:after="0" w:line="276" w:lineRule="auto"/>
        <w:jc w:val="both"/>
        <w:rPr>
          <w:rFonts w:ascii="Times New Roman" w:hAnsi="Times New Roman" w:cs="Times New Roman"/>
          <w:bCs/>
          <w:sz w:val="24"/>
          <w:szCs w:val="24"/>
        </w:rPr>
      </w:pPr>
      <w:r w:rsidRPr="006D3C51">
        <w:rPr>
          <w:rFonts w:ascii="Times New Roman" w:hAnsi="Times New Roman" w:cs="Times New Roman"/>
          <w:bCs/>
          <w:sz w:val="24"/>
          <w:szCs w:val="24"/>
        </w:rPr>
        <w:t xml:space="preserve">La sentencia de 16 de julio de 2014, asunto </w:t>
      </w:r>
      <w:proofErr w:type="spellStart"/>
      <w:r w:rsidRPr="00781D53">
        <w:rPr>
          <w:rFonts w:ascii="Times New Roman" w:hAnsi="Times New Roman" w:cs="Times New Roman"/>
          <w:bCs/>
          <w:i/>
          <w:iCs/>
          <w:sz w:val="24"/>
          <w:szCs w:val="24"/>
        </w:rPr>
        <w:t>Hämäläinen</w:t>
      </w:r>
      <w:proofErr w:type="spellEnd"/>
      <w:r w:rsidRPr="00781D53">
        <w:rPr>
          <w:rFonts w:ascii="Times New Roman" w:hAnsi="Times New Roman" w:cs="Times New Roman"/>
          <w:bCs/>
          <w:i/>
          <w:iCs/>
          <w:sz w:val="24"/>
          <w:szCs w:val="24"/>
        </w:rPr>
        <w:t> c. Finlandia</w:t>
      </w:r>
      <w:r w:rsidRPr="006D3C51">
        <w:rPr>
          <w:rStyle w:val="Refdenotaalpie"/>
          <w:rFonts w:ascii="Times New Roman" w:hAnsi="Times New Roman" w:cs="Times New Roman"/>
          <w:bCs/>
          <w:iCs/>
          <w:sz w:val="24"/>
          <w:szCs w:val="24"/>
        </w:rPr>
        <w:footnoteReference w:id="34"/>
      </w:r>
      <w:r w:rsidR="006E32F2">
        <w:rPr>
          <w:rFonts w:ascii="Times New Roman" w:hAnsi="Times New Roman" w:cs="Times New Roman"/>
          <w:bCs/>
          <w:iCs/>
          <w:sz w:val="24"/>
          <w:szCs w:val="24"/>
        </w:rPr>
        <w:t>,</w:t>
      </w:r>
      <w:r w:rsidRPr="006D3C51">
        <w:rPr>
          <w:rFonts w:ascii="Times New Roman" w:hAnsi="Times New Roman" w:cs="Times New Roman"/>
          <w:bCs/>
          <w:iCs/>
          <w:sz w:val="24"/>
          <w:szCs w:val="24"/>
        </w:rPr>
        <w:t xml:space="preserve"> resolvió la demanda de l</w:t>
      </w:r>
      <w:r w:rsidR="003250E1" w:rsidRPr="006D3C51">
        <w:rPr>
          <w:rFonts w:ascii="Times New Roman" w:hAnsi="Times New Roman" w:cs="Times New Roman"/>
          <w:bCs/>
          <w:sz w:val="24"/>
          <w:szCs w:val="24"/>
        </w:rPr>
        <w:t xml:space="preserve">a Sra. </w:t>
      </w:r>
      <w:proofErr w:type="spellStart"/>
      <w:r w:rsidR="003250E1" w:rsidRPr="006D3C51">
        <w:rPr>
          <w:rFonts w:ascii="Times New Roman" w:hAnsi="Times New Roman" w:cs="Times New Roman"/>
          <w:bCs/>
          <w:sz w:val="24"/>
          <w:szCs w:val="24"/>
        </w:rPr>
        <w:t>Hämäläinen</w:t>
      </w:r>
      <w:proofErr w:type="spellEnd"/>
      <w:r w:rsidR="003250E1" w:rsidRPr="006D3C51">
        <w:rPr>
          <w:rFonts w:ascii="Times New Roman" w:hAnsi="Times New Roman" w:cs="Times New Roman"/>
          <w:bCs/>
          <w:sz w:val="24"/>
          <w:szCs w:val="24"/>
        </w:rPr>
        <w:t xml:space="preserve">, transexual nacida con sexo biológico masculino, </w:t>
      </w:r>
      <w:r w:rsidRPr="006D3C51">
        <w:rPr>
          <w:rFonts w:ascii="Times New Roman" w:hAnsi="Times New Roman" w:cs="Times New Roman"/>
          <w:bCs/>
          <w:sz w:val="24"/>
          <w:szCs w:val="24"/>
        </w:rPr>
        <w:t xml:space="preserve">que </w:t>
      </w:r>
      <w:r w:rsidR="003250E1" w:rsidRPr="006D3C51">
        <w:rPr>
          <w:rFonts w:ascii="Times New Roman" w:hAnsi="Times New Roman" w:cs="Times New Roman"/>
          <w:bCs/>
          <w:sz w:val="24"/>
          <w:szCs w:val="24"/>
        </w:rPr>
        <w:t xml:space="preserve">se </w:t>
      </w:r>
      <w:r w:rsidRPr="006D3C51">
        <w:rPr>
          <w:rFonts w:ascii="Times New Roman" w:hAnsi="Times New Roman" w:cs="Times New Roman"/>
          <w:bCs/>
          <w:sz w:val="24"/>
          <w:szCs w:val="24"/>
        </w:rPr>
        <w:lastRenderedPageBreak/>
        <w:t xml:space="preserve">había </w:t>
      </w:r>
      <w:r w:rsidR="003250E1" w:rsidRPr="006D3C51">
        <w:rPr>
          <w:rFonts w:ascii="Times New Roman" w:hAnsi="Times New Roman" w:cs="Times New Roman"/>
          <w:bCs/>
          <w:sz w:val="24"/>
          <w:szCs w:val="24"/>
        </w:rPr>
        <w:t>someti</w:t>
      </w:r>
      <w:r w:rsidRPr="006D3C51">
        <w:rPr>
          <w:rFonts w:ascii="Times New Roman" w:hAnsi="Times New Roman" w:cs="Times New Roman"/>
          <w:bCs/>
          <w:sz w:val="24"/>
          <w:szCs w:val="24"/>
        </w:rPr>
        <w:t>do</w:t>
      </w:r>
      <w:r w:rsidR="003250E1" w:rsidRPr="006D3C51">
        <w:rPr>
          <w:rFonts w:ascii="Times New Roman" w:hAnsi="Times New Roman" w:cs="Times New Roman"/>
          <w:bCs/>
          <w:sz w:val="24"/>
          <w:szCs w:val="24"/>
        </w:rPr>
        <w:t xml:space="preserve"> a una operación quirúrgica de </w:t>
      </w:r>
      <w:r w:rsidR="007572A8" w:rsidRPr="006D3C51">
        <w:rPr>
          <w:rFonts w:ascii="Times New Roman" w:hAnsi="Times New Roman" w:cs="Times New Roman"/>
          <w:bCs/>
          <w:sz w:val="24"/>
          <w:szCs w:val="24"/>
        </w:rPr>
        <w:t>reasignación del sexo. Con anterioridad</w:t>
      </w:r>
      <w:r w:rsidR="00E56C6C">
        <w:rPr>
          <w:rFonts w:ascii="Times New Roman" w:hAnsi="Times New Roman" w:cs="Times New Roman"/>
          <w:bCs/>
          <w:sz w:val="24"/>
          <w:szCs w:val="24"/>
        </w:rPr>
        <w:t xml:space="preserve"> al cambio de sexo, </w:t>
      </w:r>
      <w:proofErr w:type="spellStart"/>
      <w:r w:rsidR="00E56C6C" w:rsidRPr="006D3C51">
        <w:rPr>
          <w:rFonts w:ascii="Times New Roman" w:hAnsi="Times New Roman" w:cs="Times New Roman"/>
          <w:bCs/>
          <w:sz w:val="24"/>
          <w:szCs w:val="24"/>
        </w:rPr>
        <w:t>Hämäläinen</w:t>
      </w:r>
      <w:proofErr w:type="spellEnd"/>
      <w:r w:rsidR="00E56C6C" w:rsidRPr="006D3C51">
        <w:rPr>
          <w:rFonts w:ascii="Times New Roman" w:hAnsi="Times New Roman" w:cs="Times New Roman"/>
          <w:bCs/>
          <w:sz w:val="24"/>
          <w:szCs w:val="24"/>
        </w:rPr>
        <w:t xml:space="preserve"> </w:t>
      </w:r>
      <w:r w:rsidR="007572A8" w:rsidRPr="006D3C51">
        <w:rPr>
          <w:rFonts w:ascii="Times New Roman" w:hAnsi="Times New Roman" w:cs="Times New Roman"/>
          <w:bCs/>
          <w:sz w:val="24"/>
          <w:szCs w:val="24"/>
        </w:rPr>
        <w:t xml:space="preserve">se había casado con una mujer, con la que tuvo un hijo. Los Tribunales finlandeses negaron el </w:t>
      </w:r>
      <w:r w:rsidR="007E22F4" w:rsidRPr="006D3C51">
        <w:rPr>
          <w:rFonts w:ascii="Times New Roman" w:hAnsi="Times New Roman" w:cs="Times New Roman"/>
          <w:bCs/>
          <w:sz w:val="24"/>
          <w:szCs w:val="24"/>
        </w:rPr>
        <w:t>pleno reconocimiento</w:t>
      </w:r>
      <w:r w:rsidR="007572A8" w:rsidRPr="006D3C51">
        <w:rPr>
          <w:rFonts w:ascii="Times New Roman" w:hAnsi="Times New Roman" w:cs="Times New Roman"/>
          <w:bCs/>
          <w:sz w:val="24"/>
          <w:szCs w:val="24"/>
        </w:rPr>
        <w:t xml:space="preserve"> legal</w:t>
      </w:r>
      <w:r w:rsidR="007E22F4" w:rsidRPr="006D3C51">
        <w:rPr>
          <w:rFonts w:ascii="Times New Roman" w:hAnsi="Times New Roman" w:cs="Times New Roman"/>
          <w:bCs/>
          <w:sz w:val="24"/>
          <w:szCs w:val="24"/>
        </w:rPr>
        <w:t xml:space="preserve"> del nuevo sexo de la </w:t>
      </w:r>
      <w:r w:rsidR="007572A8" w:rsidRPr="006D3C51">
        <w:rPr>
          <w:rFonts w:ascii="Times New Roman" w:hAnsi="Times New Roman" w:cs="Times New Roman"/>
          <w:bCs/>
          <w:sz w:val="24"/>
          <w:szCs w:val="24"/>
        </w:rPr>
        <w:t>demandante</w:t>
      </w:r>
      <w:r w:rsidR="007E22F4" w:rsidRPr="006D3C51">
        <w:rPr>
          <w:rFonts w:ascii="Times New Roman" w:hAnsi="Times New Roman" w:cs="Times New Roman"/>
          <w:bCs/>
          <w:sz w:val="24"/>
          <w:szCs w:val="24"/>
        </w:rPr>
        <w:t xml:space="preserve"> </w:t>
      </w:r>
      <w:r w:rsidR="007572A8" w:rsidRPr="006D3C51">
        <w:rPr>
          <w:rFonts w:ascii="Times New Roman" w:hAnsi="Times New Roman" w:cs="Times New Roman"/>
          <w:bCs/>
          <w:sz w:val="24"/>
          <w:szCs w:val="24"/>
        </w:rPr>
        <w:t>hasta</w:t>
      </w:r>
      <w:r w:rsidR="007E22F4" w:rsidRPr="006D3C51">
        <w:rPr>
          <w:rFonts w:ascii="Times New Roman" w:hAnsi="Times New Roman" w:cs="Times New Roman"/>
          <w:bCs/>
          <w:sz w:val="24"/>
          <w:szCs w:val="24"/>
        </w:rPr>
        <w:t xml:space="preserve"> la </w:t>
      </w:r>
      <w:r w:rsidR="00BA77DA">
        <w:rPr>
          <w:rFonts w:ascii="Times New Roman" w:hAnsi="Times New Roman" w:cs="Times New Roman"/>
          <w:bCs/>
          <w:sz w:val="24"/>
          <w:szCs w:val="24"/>
        </w:rPr>
        <w:t>modificación</w:t>
      </w:r>
      <w:r w:rsidR="007E22F4" w:rsidRPr="006D3C51">
        <w:rPr>
          <w:rFonts w:ascii="Times New Roman" w:hAnsi="Times New Roman" w:cs="Times New Roman"/>
          <w:bCs/>
          <w:sz w:val="24"/>
          <w:szCs w:val="24"/>
        </w:rPr>
        <w:t xml:space="preserve"> de su matrimonio en una pareja de hecho registrada. </w:t>
      </w:r>
      <w:r w:rsidR="007572A8" w:rsidRPr="006D3C51">
        <w:rPr>
          <w:rFonts w:ascii="Times New Roman" w:hAnsi="Times New Roman" w:cs="Times New Roman"/>
          <w:bCs/>
          <w:sz w:val="24"/>
          <w:szCs w:val="24"/>
        </w:rPr>
        <w:t xml:space="preserve">El TEDH, aunque considerara que </w:t>
      </w:r>
      <w:r w:rsidR="00F15510" w:rsidRPr="006D3C51">
        <w:rPr>
          <w:rFonts w:ascii="Times New Roman" w:hAnsi="Times New Roman" w:cs="Times New Roman"/>
          <w:bCs/>
          <w:sz w:val="24"/>
          <w:szCs w:val="24"/>
        </w:rPr>
        <w:t>los hechos</w:t>
      </w:r>
      <w:r w:rsidR="00592738" w:rsidRPr="006D3C51">
        <w:rPr>
          <w:rFonts w:ascii="Times New Roman" w:hAnsi="Times New Roman" w:cs="Times New Roman"/>
          <w:bCs/>
          <w:sz w:val="24"/>
          <w:szCs w:val="24"/>
        </w:rPr>
        <w:t xml:space="preserve"> planteaba</w:t>
      </w:r>
      <w:r w:rsidR="00F15510" w:rsidRPr="006D3C51">
        <w:rPr>
          <w:rFonts w:ascii="Times New Roman" w:hAnsi="Times New Roman" w:cs="Times New Roman"/>
          <w:bCs/>
          <w:sz w:val="24"/>
          <w:szCs w:val="24"/>
        </w:rPr>
        <w:t>n</w:t>
      </w:r>
      <w:r w:rsidR="00592738" w:rsidRPr="006D3C51">
        <w:rPr>
          <w:rFonts w:ascii="Times New Roman" w:hAnsi="Times New Roman" w:cs="Times New Roman"/>
          <w:bCs/>
          <w:sz w:val="24"/>
          <w:szCs w:val="24"/>
        </w:rPr>
        <w:t xml:space="preserve"> problemas que podían tener un impacto en la vida familiar de la demandante </w:t>
      </w:r>
      <w:r w:rsidR="00F15510" w:rsidRPr="006D3C51">
        <w:rPr>
          <w:rFonts w:ascii="Times New Roman" w:hAnsi="Times New Roman" w:cs="Times New Roman"/>
          <w:bCs/>
          <w:sz w:val="24"/>
          <w:szCs w:val="24"/>
        </w:rPr>
        <w:t xml:space="preserve">y que </w:t>
      </w:r>
      <w:r w:rsidR="007572A8" w:rsidRPr="006D3C51">
        <w:rPr>
          <w:rFonts w:ascii="Times New Roman" w:hAnsi="Times New Roman" w:cs="Times New Roman"/>
          <w:bCs/>
          <w:sz w:val="24"/>
          <w:szCs w:val="24"/>
        </w:rPr>
        <w:t xml:space="preserve">el artículo 8 CEDH era de aplicación tanto en lo concerniente a la “vida privada”, como a la “vida familiar” (§§ 60-61), </w:t>
      </w:r>
      <w:r w:rsidR="007E22F4" w:rsidRPr="006D3C51">
        <w:rPr>
          <w:rFonts w:ascii="Times New Roman" w:hAnsi="Times New Roman" w:cs="Times New Roman"/>
          <w:bCs/>
          <w:sz w:val="24"/>
          <w:szCs w:val="24"/>
        </w:rPr>
        <w:t xml:space="preserve">concluyó que dicha </w:t>
      </w:r>
      <w:r w:rsidR="00BA77DA">
        <w:rPr>
          <w:rFonts w:ascii="Times New Roman" w:hAnsi="Times New Roman" w:cs="Times New Roman"/>
          <w:bCs/>
          <w:sz w:val="24"/>
          <w:szCs w:val="24"/>
        </w:rPr>
        <w:t>modificación del estado civil</w:t>
      </w:r>
      <w:r w:rsidR="007E22F4" w:rsidRPr="006D3C51">
        <w:rPr>
          <w:rFonts w:ascii="Times New Roman" w:hAnsi="Times New Roman" w:cs="Times New Roman"/>
          <w:bCs/>
          <w:sz w:val="24"/>
          <w:szCs w:val="24"/>
        </w:rPr>
        <w:t xml:space="preserve"> no vulnera</w:t>
      </w:r>
      <w:r w:rsidR="007572A8" w:rsidRPr="006D3C51">
        <w:rPr>
          <w:rFonts w:ascii="Times New Roman" w:hAnsi="Times New Roman" w:cs="Times New Roman"/>
          <w:bCs/>
          <w:sz w:val="24"/>
          <w:szCs w:val="24"/>
        </w:rPr>
        <w:t>ba</w:t>
      </w:r>
      <w:r w:rsidR="007E22F4" w:rsidRPr="006D3C51">
        <w:rPr>
          <w:rFonts w:ascii="Times New Roman" w:hAnsi="Times New Roman" w:cs="Times New Roman"/>
          <w:bCs/>
          <w:sz w:val="24"/>
          <w:szCs w:val="24"/>
        </w:rPr>
        <w:t xml:space="preserve"> </w:t>
      </w:r>
      <w:r w:rsidR="007572A8" w:rsidRPr="006D3C51">
        <w:rPr>
          <w:rFonts w:ascii="Times New Roman" w:hAnsi="Times New Roman" w:cs="Times New Roman"/>
          <w:bCs/>
          <w:sz w:val="24"/>
          <w:szCs w:val="24"/>
        </w:rPr>
        <w:t>el Convenio</w:t>
      </w:r>
      <w:r w:rsidR="007E22F4" w:rsidRPr="006D3C51">
        <w:rPr>
          <w:rFonts w:ascii="Times New Roman" w:hAnsi="Times New Roman" w:cs="Times New Roman"/>
          <w:bCs/>
          <w:sz w:val="24"/>
          <w:szCs w:val="24"/>
        </w:rPr>
        <w:t xml:space="preserve"> (§ 86).</w:t>
      </w:r>
    </w:p>
    <w:p w14:paraId="2A7BFD7F" w14:textId="7A922C46" w:rsidR="009C76E5" w:rsidRPr="006D3C51" w:rsidRDefault="00D37CAD" w:rsidP="00781D53">
      <w:pPr>
        <w:spacing w:after="0" w:line="276" w:lineRule="auto"/>
        <w:jc w:val="both"/>
        <w:rPr>
          <w:rFonts w:ascii="Times New Roman" w:hAnsi="Times New Roman" w:cs="Times New Roman"/>
          <w:bCs/>
          <w:sz w:val="24"/>
          <w:szCs w:val="24"/>
        </w:rPr>
      </w:pPr>
      <w:r w:rsidRPr="006D3C51">
        <w:rPr>
          <w:rFonts w:ascii="Times New Roman" w:hAnsi="Times New Roman" w:cs="Times New Roman"/>
          <w:bCs/>
          <w:sz w:val="24"/>
          <w:szCs w:val="24"/>
        </w:rPr>
        <w:t xml:space="preserve">Merece la pena evidenciar que, en la parte de su decisión en la que el TEDH analizó </w:t>
      </w:r>
      <w:r w:rsidR="003671B7" w:rsidRPr="006D3C51">
        <w:rPr>
          <w:rFonts w:ascii="Times New Roman" w:hAnsi="Times New Roman" w:cs="Times New Roman"/>
          <w:bCs/>
          <w:sz w:val="24"/>
          <w:szCs w:val="24"/>
        </w:rPr>
        <w:t>si el caso se ref</w:t>
      </w:r>
      <w:r w:rsidRPr="006D3C51">
        <w:rPr>
          <w:rFonts w:ascii="Times New Roman" w:hAnsi="Times New Roman" w:cs="Times New Roman"/>
          <w:bCs/>
          <w:sz w:val="24"/>
          <w:szCs w:val="24"/>
        </w:rPr>
        <w:t>ería</w:t>
      </w:r>
      <w:r w:rsidR="003671B7" w:rsidRPr="006D3C51">
        <w:rPr>
          <w:rFonts w:ascii="Times New Roman" w:hAnsi="Times New Roman" w:cs="Times New Roman"/>
          <w:bCs/>
          <w:sz w:val="24"/>
          <w:szCs w:val="24"/>
        </w:rPr>
        <w:t xml:space="preserve"> a una obligación positiva o una injerencia</w:t>
      </w:r>
      <w:r w:rsidRPr="006D3C51">
        <w:rPr>
          <w:rFonts w:ascii="Times New Roman" w:hAnsi="Times New Roman" w:cs="Times New Roman"/>
          <w:bCs/>
          <w:sz w:val="24"/>
          <w:szCs w:val="24"/>
        </w:rPr>
        <w:t>, el Tribunal hace referencia solo a uno de los “contenidos” del art. 8 CEDH que solía mencionar en sus resoluciones relativas a la condición de los transexuales, casi como si quisiera resaltar ese aspecto en concreto: “</w:t>
      </w:r>
      <w:r w:rsidR="002162AF" w:rsidRPr="006D3C51">
        <w:rPr>
          <w:rFonts w:ascii="Times New Roman" w:hAnsi="Times New Roman" w:cs="Times New Roman"/>
          <w:bCs/>
          <w:i/>
          <w:sz w:val="24"/>
          <w:szCs w:val="24"/>
        </w:rPr>
        <w:t>el artículo 8 impone a los Estados la obligación positiva de garantizar a sus ciudadanos el derecho al respeto efectivo de su integridad física y moral</w:t>
      </w:r>
      <w:r w:rsidRPr="006D3C51">
        <w:rPr>
          <w:rFonts w:ascii="Times New Roman" w:hAnsi="Times New Roman" w:cs="Times New Roman"/>
          <w:bCs/>
          <w:sz w:val="24"/>
          <w:szCs w:val="24"/>
        </w:rPr>
        <w:t>” (</w:t>
      </w:r>
      <w:r w:rsidR="00FB4A03" w:rsidRPr="006D3C51">
        <w:rPr>
          <w:rFonts w:ascii="Times New Roman" w:hAnsi="Times New Roman" w:cs="Times New Roman"/>
          <w:bCs/>
          <w:sz w:val="24"/>
          <w:szCs w:val="24"/>
        </w:rPr>
        <w:t xml:space="preserve">§ </w:t>
      </w:r>
      <w:r w:rsidRPr="006D3C51">
        <w:rPr>
          <w:rFonts w:ascii="Times New Roman" w:hAnsi="Times New Roman" w:cs="Times New Roman"/>
          <w:bCs/>
          <w:sz w:val="24"/>
          <w:szCs w:val="24"/>
        </w:rPr>
        <w:t xml:space="preserve">63). </w:t>
      </w:r>
      <w:r w:rsidR="00D626F5" w:rsidRPr="006D3C51">
        <w:rPr>
          <w:rFonts w:ascii="Times New Roman" w:hAnsi="Times New Roman" w:cs="Times New Roman"/>
          <w:bCs/>
          <w:sz w:val="24"/>
          <w:szCs w:val="24"/>
        </w:rPr>
        <w:t>En efecto, este elemento se convertirá,</w:t>
      </w:r>
      <w:r w:rsidR="00951EA5" w:rsidRPr="006D3C51">
        <w:rPr>
          <w:rFonts w:ascii="Times New Roman" w:hAnsi="Times New Roman" w:cs="Times New Roman"/>
          <w:bCs/>
          <w:sz w:val="24"/>
          <w:szCs w:val="24"/>
        </w:rPr>
        <w:t xml:space="preserve"> </w:t>
      </w:r>
      <w:r w:rsidR="00D626F5" w:rsidRPr="006D3C51">
        <w:rPr>
          <w:rFonts w:ascii="Times New Roman" w:hAnsi="Times New Roman" w:cs="Times New Roman"/>
          <w:bCs/>
          <w:sz w:val="24"/>
          <w:szCs w:val="24"/>
        </w:rPr>
        <w:t xml:space="preserve">en los últimos años, </w:t>
      </w:r>
      <w:r w:rsidR="00951EA5" w:rsidRPr="006D3C51">
        <w:rPr>
          <w:rFonts w:ascii="Times New Roman" w:hAnsi="Times New Roman" w:cs="Times New Roman"/>
          <w:bCs/>
          <w:sz w:val="24"/>
          <w:szCs w:val="24"/>
        </w:rPr>
        <w:t xml:space="preserve">como se dirá, </w:t>
      </w:r>
      <w:r w:rsidR="00D626F5" w:rsidRPr="006D3C51">
        <w:rPr>
          <w:rFonts w:ascii="Times New Roman" w:hAnsi="Times New Roman" w:cs="Times New Roman"/>
          <w:bCs/>
          <w:sz w:val="24"/>
          <w:szCs w:val="24"/>
        </w:rPr>
        <w:t xml:space="preserve">en uno de los más importantes para consolidar algunos de los </w:t>
      </w:r>
      <w:r w:rsidR="00951EA5" w:rsidRPr="006D3C51">
        <w:rPr>
          <w:rFonts w:ascii="Times New Roman" w:hAnsi="Times New Roman" w:cs="Times New Roman"/>
          <w:bCs/>
          <w:sz w:val="24"/>
          <w:szCs w:val="24"/>
        </w:rPr>
        <w:t>estándares</w:t>
      </w:r>
      <w:r w:rsidR="00D626F5" w:rsidRPr="006D3C51">
        <w:rPr>
          <w:rFonts w:ascii="Times New Roman" w:hAnsi="Times New Roman" w:cs="Times New Roman"/>
          <w:bCs/>
          <w:sz w:val="24"/>
          <w:szCs w:val="24"/>
        </w:rPr>
        <w:t xml:space="preserve"> de protección del colectivo transexual, en particular</w:t>
      </w:r>
      <w:r w:rsidR="00951EA5" w:rsidRPr="006D3C51">
        <w:rPr>
          <w:rFonts w:ascii="Times New Roman" w:hAnsi="Times New Roman" w:cs="Times New Roman"/>
          <w:bCs/>
          <w:sz w:val="24"/>
          <w:szCs w:val="24"/>
        </w:rPr>
        <w:t>, el relativo a la prohibición de imponer la realización de operaciones quirúrgicas de reasignación de</w:t>
      </w:r>
      <w:r w:rsidR="00B223C2">
        <w:rPr>
          <w:rFonts w:ascii="Times New Roman" w:hAnsi="Times New Roman" w:cs="Times New Roman"/>
          <w:bCs/>
          <w:sz w:val="24"/>
          <w:szCs w:val="24"/>
        </w:rPr>
        <w:t>l</w:t>
      </w:r>
      <w:r w:rsidR="00951EA5" w:rsidRPr="006D3C51">
        <w:rPr>
          <w:rFonts w:ascii="Times New Roman" w:hAnsi="Times New Roman" w:cs="Times New Roman"/>
          <w:bCs/>
          <w:sz w:val="24"/>
          <w:szCs w:val="24"/>
        </w:rPr>
        <w:t xml:space="preserve"> sexo para permitir a los transexuales obtener el cambio de sexo en los registros civiles.  </w:t>
      </w:r>
    </w:p>
    <w:p w14:paraId="56496833" w14:textId="592F494A" w:rsidR="00615F1E" w:rsidRPr="006D3C51" w:rsidRDefault="00615F1E" w:rsidP="00781D53">
      <w:pPr>
        <w:spacing w:after="0" w:line="276" w:lineRule="auto"/>
        <w:jc w:val="both"/>
        <w:rPr>
          <w:rFonts w:ascii="Times New Roman" w:hAnsi="Times New Roman" w:cs="Times New Roman"/>
          <w:bCs/>
          <w:sz w:val="24"/>
          <w:szCs w:val="24"/>
        </w:rPr>
      </w:pPr>
      <w:r w:rsidRPr="006D3C51">
        <w:rPr>
          <w:rFonts w:ascii="Times New Roman" w:hAnsi="Times New Roman" w:cs="Times New Roman"/>
          <w:bCs/>
          <w:sz w:val="24"/>
          <w:szCs w:val="24"/>
        </w:rPr>
        <w:t xml:space="preserve">Como de costumbre, para resolver el caso, el Tribunal estudió las previsiones legales presentes en los países miembros del Consejo de Europa, para valorar el alcance del margen de apreciación nacional en este ámbito especifico.  </w:t>
      </w:r>
    </w:p>
    <w:p w14:paraId="714F0A9B" w14:textId="749DFF15" w:rsidR="00FA212E" w:rsidRPr="006D3C51" w:rsidRDefault="00FA212E" w:rsidP="00781D53">
      <w:pPr>
        <w:spacing w:after="0" w:line="276" w:lineRule="auto"/>
        <w:jc w:val="both"/>
        <w:rPr>
          <w:rFonts w:ascii="Times New Roman" w:hAnsi="Times New Roman" w:cs="Times New Roman"/>
          <w:bCs/>
          <w:sz w:val="24"/>
          <w:szCs w:val="24"/>
        </w:rPr>
      </w:pPr>
      <w:r w:rsidRPr="006D3C51">
        <w:rPr>
          <w:rFonts w:ascii="Times New Roman" w:hAnsi="Times New Roman" w:cs="Times New Roman"/>
          <w:bCs/>
          <w:sz w:val="24"/>
          <w:szCs w:val="24"/>
        </w:rPr>
        <w:t>Asimismo, aclaró con afirmaciones muy precisas las “modalidades” de aplicación del criterio del margen de apreciación nacional</w:t>
      </w:r>
      <w:r w:rsidR="002C2D14" w:rsidRPr="006D3C51">
        <w:rPr>
          <w:rFonts w:ascii="Times New Roman" w:hAnsi="Times New Roman" w:cs="Times New Roman"/>
          <w:bCs/>
          <w:sz w:val="24"/>
          <w:szCs w:val="24"/>
        </w:rPr>
        <w:t xml:space="preserve">, en particular respecto de las </w:t>
      </w:r>
      <w:r w:rsidRPr="006D3C51">
        <w:rPr>
          <w:rFonts w:ascii="Times New Roman" w:hAnsi="Times New Roman" w:cs="Times New Roman"/>
          <w:bCs/>
          <w:sz w:val="24"/>
          <w:szCs w:val="24"/>
        </w:rPr>
        <w:t xml:space="preserve">obligaciones positivas </w:t>
      </w:r>
      <w:r w:rsidR="002C2D14" w:rsidRPr="006D3C51">
        <w:rPr>
          <w:rFonts w:ascii="Times New Roman" w:hAnsi="Times New Roman" w:cs="Times New Roman"/>
          <w:bCs/>
          <w:sz w:val="24"/>
          <w:szCs w:val="24"/>
        </w:rPr>
        <w:t>que derivan de la aplicación del</w:t>
      </w:r>
      <w:r w:rsidRPr="006D3C51">
        <w:rPr>
          <w:rFonts w:ascii="Times New Roman" w:hAnsi="Times New Roman" w:cs="Times New Roman"/>
          <w:bCs/>
          <w:sz w:val="24"/>
          <w:szCs w:val="24"/>
        </w:rPr>
        <w:t xml:space="preserve"> artículo 8</w:t>
      </w:r>
      <w:r w:rsidR="002C2D14" w:rsidRPr="006D3C51">
        <w:rPr>
          <w:rFonts w:ascii="Times New Roman" w:hAnsi="Times New Roman" w:cs="Times New Roman"/>
          <w:bCs/>
          <w:sz w:val="24"/>
          <w:szCs w:val="24"/>
        </w:rPr>
        <w:t xml:space="preserve"> CEDH. Para </w:t>
      </w:r>
      <w:r w:rsidRPr="006D3C51">
        <w:rPr>
          <w:rFonts w:ascii="Times New Roman" w:hAnsi="Times New Roman" w:cs="Times New Roman"/>
          <w:bCs/>
          <w:sz w:val="24"/>
          <w:szCs w:val="24"/>
        </w:rPr>
        <w:t>determinar el alcance de</w:t>
      </w:r>
      <w:r w:rsidR="002C2D14" w:rsidRPr="006D3C51">
        <w:rPr>
          <w:rFonts w:ascii="Times New Roman" w:hAnsi="Times New Roman" w:cs="Times New Roman"/>
          <w:bCs/>
          <w:sz w:val="24"/>
          <w:szCs w:val="24"/>
        </w:rPr>
        <w:t xml:space="preserve">l </w:t>
      </w:r>
      <w:r w:rsidRPr="006D3C51">
        <w:rPr>
          <w:rFonts w:ascii="Times New Roman" w:hAnsi="Times New Roman" w:cs="Times New Roman"/>
          <w:bCs/>
          <w:sz w:val="24"/>
          <w:szCs w:val="24"/>
        </w:rPr>
        <w:t>margen de apreciación</w:t>
      </w:r>
      <w:r w:rsidR="002C2D14" w:rsidRPr="006D3C51">
        <w:rPr>
          <w:rFonts w:ascii="Times New Roman" w:hAnsi="Times New Roman" w:cs="Times New Roman"/>
          <w:bCs/>
          <w:sz w:val="24"/>
          <w:szCs w:val="24"/>
        </w:rPr>
        <w:t xml:space="preserve"> estatal</w:t>
      </w:r>
      <w:r w:rsidRPr="006D3C51">
        <w:rPr>
          <w:rFonts w:ascii="Times New Roman" w:hAnsi="Times New Roman" w:cs="Times New Roman"/>
          <w:bCs/>
          <w:sz w:val="24"/>
          <w:szCs w:val="24"/>
        </w:rPr>
        <w:t>, deben tenerse en cuenta varios factores</w:t>
      </w:r>
      <w:r w:rsidR="002C2D14" w:rsidRPr="006D3C51">
        <w:rPr>
          <w:rFonts w:ascii="Times New Roman" w:hAnsi="Times New Roman" w:cs="Times New Roman"/>
          <w:bCs/>
          <w:sz w:val="24"/>
          <w:szCs w:val="24"/>
        </w:rPr>
        <w:t>: en primer lugar, declar</w:t>
      </w:r>
      <w:r w:rsidR="00615F1E" w:rsidRPr="006D3C51">
        <w:rPr>
          <w:rFonts w:ascii="Times New Roman" w:hAnsi="Times New Roman" w:cs="Times New Roman"/>
          <w:bCs/>
          <w:sz w:val="24"/>
          <w:szCs w:val="24"/>
        </w:rPr>
        <w:t>ó</w:t>
      </w:r>
      <w:r w:rsidR="002C2D14" w:rsidRPr="006D3C51">
        <w:rPr>
          <w:rFonts w:ascii="Times New Roman" w:hAnsi="Times New Roman" w:cs="Times New Roman"/>
          <w:bCs/>
          <w:sz w:val="24"/>
          <w:szCs w:val="24"/>
        </w:rPr>
        <w:t xml:space="preserve"> el TEDH,</w:t>
      </w:r>
      <w:r w:rsidRPr="006D3C51">
        <w:rPr>
          <w:rFonts w:ascii="Times New Roman" w:hAnsi="Times New Roman" w:cs="Times New Roman"/>
          <w:bCs/>
          <w:sz w:val="24"/>
          <w:szCs w:val="24"/>
        </w:rPr>
        <w:t xml:space="preserve"> </w:t>
      </w:r>
      <w:r w:rsidR="002C2D14" w:rsidRPr="006D3C51">
        <w:rPr>
          <w:rFonts w:ascii="Times New Roman" w:hAnsi="Times New Roman" w:cs="Times New Roman"/>
          <w:bCs/>
          <w:sz w:val="24"/>
          <w:szCs w:val="24"/>
        </w:rPr>
        <w:t>si</w:t>
      </w:r>
      <w:r w:rsidRPr="006D3C51">
        <w:rPr>
          <w:rFonts w:ascii="Times New Roman" w:hAnsi="Times New Roman" w:cs="Times New Roman"/>
          <w:bCs/>
          <w:sz w:val="24"/>
          <w:szCs w:val="24"/>
        </w:rPr>
        <w:t xml:space="preserve"> está en juego un aspecto particularmente importante de la existencia o identidad de un individuo, el margen que se deja al </w:t>
      </w:r>
      <w:r w:rsidR="002C2D14" w:rsidRPr="006D3C51">
        <w:rPr>
          <w:rFonts w:ascii="Times New Roman" w:hAnsi="Times New Roman" w:cs="Times New Roman"/>
          <w:bCs/>
          <w:sz w:val="24"/>
          <w:szCs w:val="24"/>
        </w:rPr>
        <w:t>E</w:t>
      </w:r>
      <w:r w:rsidRPr="006D3C51">
        <w:rPr>
          <w:rFonts w:ascii="Times New Roman" w:hAnsi="Times New Roman" w:cs="Times New Roman"/>
          <w:bCs/>
          <w:sz w:val="24"/>
          <w:szCs w:val="24"/>
        </w:rPr>
        <w:t>stado es limitado</w:t>
      </w:r>
      <w:r w:rsidR="002C2D14" w:rsidRPr="006D3C51">
        <w:rPr>
          <w:rFonts w:ascii="Times New Roman" w:hAnsi="Times New Roman" w:cs="Times New Roman"/>
          <w:bCs/>
          <w:sz w:val="24"/>
          <w:szCs w:val="24"/>
        </w:rPr>
        <w:t>;</w:t>
      </w:r>
      <w:r w:rsidRPr="006D3C51">
        <w:rPr>
          <w:rFonts w:ascii="Times New Roman" w:hAnsi="Times New Roman" w:cs="Times New Roman"/>
          <w:bCs/>
          <w:sz w:val="24"/>
          <w:szCs w:val="24"/>
        </w:rPr>
        <w:t xml:space="preserve"> el margen de apreciación es más amplio</w:t>
      </w:r>
      <w:r w:rsidR="002C2D14" w:rsidRPr="006D3C51">
        <w:rPr>
          <w:rFonts w:ascii="Times New Roman" w:hAnsi="Times New Roman" w:cs="Times New Roman"/>
          <w:bCs/>
          <w:sz w:val="24"/>
          <w:szCs w:val="24"/>
        </w:rPr>
        <w:t>, en segundo lugar,</w:t>
      </w:r>
      <w:r w:rsidRPr="006D3C51">
        <w:rPr>
          <w:rFonts w:ascii="Times New Roman" w:hAnsi="Times New Roman" w:cs="Times New Roman"/>
          <w:bCs/>
          <w:sz w:val="24"/>
          <w:szCs w:val="24"/>
        </w:rPr>
        <w:t xml:space="preserve"> cuando no existe consenso entre los </w:t>
      </w:r>
      <w:r w:rsidR="002C2D14" w:rsidRPr="006D3C51">
        <w:rPr>
          <w:rFonts w:ascii="Times New Roman" w:hAnsi="Times New Roman" w:cs="Times New Roman"/>
          <w:bCs/>
          <w:sz w:val="24"/>
          <w:szCs w:val="24"/>
        </w:rPr>
        <w:t>E</w:t>
      </w:r>
      <w:r w:rsidRPr="006D3C51">
        <w:rPr>
          <w:rFonts w:ascii="Times New Roman" w:hAnsi="Times New Roman" w:cs="Times New Roman"/>
          <w:bCs/>
          <w:sz w:val="24"/>
          <w:szCs w:val="24"/>
        </w:rPr>
        <w:t>stados miembros del Consejo de Europa sobre la importancia relativa del interés en juego o sobre la mejor forma de protegerlo, en particular cuando el caso</w:t>
      </w:r>
      <w:r w:rsidR="002C2D14" w:rsidRPr="006D3C51">
        <w:rPr>
          <w:rFonts w:ascii="Times New Roman" w:hAnsi="Times New Roman" w:cs="Times New Roman"/>
          <w:bCs/>
          <w:sz w:val="24"/>
          <w:szCs w:val="24"/>
        </w:rPr>
        <w:t xml:space="preserve"> plantea</w:t>
      </w:r>
      <w:r w:rsidRPr="006D3C51">
        <w:rPr>
          <w:rFonts w:ascii="Times New Roman" w:hAnsi="Times New Roman" w:cs="Times New Roman"/>
          <w:bCs/>
          <w:sz w:val="24"/>
          <w:szCs w:val="24"/>
        </w:rPr>
        <w:t xml:space="preserve"> cuestiones morales o éticas</w:t>
      </w:r>
      <w:r w:rsidR="002C2D14" w:rsidRPr="006D3C51">
        <w:rPr>
          <w:rFonts w:ascii="Times New Roman" w:hAnsi="Times New Roman" w:cs="Times New Roman"/>
          <w:bCs/>
          <w:sz w:val="24"/>
          <w:szCs w:val="24"/>
        </w:rPr>
        <w:t>; finalmente, ese</w:t>
      </w:r>
      <w:r w:rsidRPr="006D3C51">
        <w:rPr>
          <w:rFonts w:ascii="Times New Roman" w:hAnsi="Times New Roman" w:cs="Times New Roman"/>
          <w:bCs/>
          <w:sz w:val="24"/>
          <w:szCs w:val="24"/>
        </w:rPr>
        <w:t xml:space="preserve"> margen también </w:t>
      </w:r>
      <w:r w:rsidR="002C2D14" w:rsidRPr="006D3C51">
        <w:rPr>
          <w:rFonts w:ascii="Times New Roman" w:hAnsi="Times New Roman" w:cs="Times New Roman"/>
          <w:bCs/>
          <w:sz w:val="24"/>
          <w:szCs w:val="24"/>
        </w:rPr>
        <w:t>será</w:t>
      </w:r>
      <w:r w:rsidRPr="006D3C51">
        <w:rPr>
          <w:rFonts w:ascii="Times New Roman" w:hAnsi="Times New Roman" w:cs="Times New Roman"/>
          <w:bCs/>
          <w:sz w:val="24"/>
          <w:szCs w:val="24"/>
        </w:rPr>
        <w:t xml:space="preserve"> generalmente amplio cuando el Estado debe lograr un equilibrio entre los intereses públicos y privados </w:t>
      </w:r>
      <w:r w:rsidR="00141B5F" w:rsidRPr="006D3C51">
        <w:rPr>
          <w:rFonts w:ascii="Times New Roman" w:hAnsi="Times New Roman" w:cs="Times New Roman"/>
          <w:bCs/>
          <w:sz w:val="24"/>
          <w:szCs w:val="24"/>
        </w:rPr>
        <w:t xml:space="preserve">o entre varios derechos </w:t>
      </w:r>
      <w:r w:rsidR="00B223C2" w:rsidRPr="006D3C51">
        <w:rPr>
          <w:rFonts w:ascii="Times New Roman" w:hAnsi="Times New Roman" w:cs="Times New Roman"/>
          <w:bCs/>
          <w:sz w:val="24"/>
          <w:szCs w:val="24"/>
        </w:rPr>
        <w:t xml:space="preserve">en conflicto </w:t>
      </w:r>
      <w:r w:rsidR="00141B5F" w:rsidRPr="006D3C51">
        <w:rPr>
          <w:rFonts w:ascii="Times New Roman" w:hAnsi="Times New Roman" w:cs="Times New Roman"/>
          <w:bCs/>
          <w:sz w:val="24"/>
          <w:szCs w:val="24"/>
        </w:rPr>
        <w:t xml:space="preserve">protegidos por el Convenio </w:t>
      </w:r>
      <w:r w:rsidR="002C2D14" w:rsidRPr="006D3C51">
        <w:rPr>
          <w:rFonts w:ascii="Times New Roman" w:hAnsi="Times New Roman" w:cs="Times New Roman"/>
          <w:bCs/>
          <w:sz w:val="24"/>
          <w:szCs w:val="24"/>
        </w:rPr>
        <w:t>(</w:t>
      </w:r>
      <w:r w:rsidR="00FB4A03" w:rsidRPr="006D3C51">
        <w:rPr>
          <w:rFonts w:ascii="Times New Roman" w:hAnsi="Times New Roman" w:cs="Times New Roman"/>
          <w:bCs/>
          <w:sz w:val="24"/>
          <w:szCs w:val="24"/>
        </w:rPr>
        <w:t xml:space="preserve">§ </w:t>
      </w:r>
      <w:r w:rsidR="002C2D14" w:rsidRPr="006D3C51">
        <w:rPr>
          <w:rFonts w:ascii="Times New Roman" w:hAnsi="Times New Roman" w:cs="Times New Roman"/>
          <w:bCs/>
          <w:sz w:val="24"/>
          <w:szCs w:val="24"/>
        </w:rPr>
        <w:t>67)</w:t>
      </w:r>
      <w:r w:rsidR="00141B5F" w:rsidRPr="006D3C51">
        <w:rPr>
          <w:rFonts w:ascii="Times New Roman" w:hAnsi="Times New Roman" w:cs="Times New Roman"/>
          <w:bCs/>
          <w:sz w:val="24"/>
          <w:szCs w:val="24"/>
        </w:rPr>
        <w:t xml:space="preserve">. </w:t>
      </w:r>
    </w:p>
    <w:p w14:paraId="6359312B" w14:textId="22E4AFF6" w:rsidR="005E2ADB" w:rsidRPr="006D3C51" w:rsidRDefault="005E2ADB" w:rsidP="00781D53">
      <w:pPr>
        <w:spacing w:after="0" w:line="276" w:lineRule="auto"/>
        <w:jc w:val="both"/>
        <w:rPr>
          <w:rFonts w:ascii="Times New Roman" w:hAnsi="Times New Roman" w:cs="Times New Roman"/>
          <w:bCs/>
          <w:sz w:val="24"/>
          <w:szCs w:val="24"/>
        </w:rPr>
      </w:pPr>
      <w:r w:rsidRPr="006D3C51">
        <w:rPr>
          <w:rFonts w:ascii="Times New Roman" w:hAnsi="Times New Roman" w:cs="Times New Roman"/>
          <w:bCs/>
          <w:sz w:val="24"/>
          <w:szCs w:val="24"/>
        </w:rPr>
        <w:t>E</w:t>
      </w:r>
      <w:r w:rsidR="00B45798" w:rsidRPr="006D3C51">
        <w:rPr>
          <w:rFonts w:ascii="Times New Roman" w:hAnsi="Times New Roman" w:cs="Times New Roman"/>
          <w:bCs/>
          <w:sz w:val="24"/>
          <w:szCs w:val="24"/>
        </w:rPr>
        <w:t>l caso de la Sra.</w:t>
      </w:r>
      <w:r w:rsidRPr="006D3C51">
        <w:rPr>
          <w:rFonts w:ascii="Times New Roman" w:hAnsi="Times New Roman" w:cs="Times New Roman"/>
          <w:bCs/>
          <w:sz w:val="24"/>
          <w:szCs w:val="24"/>
        </w:rPr>
        <w:t xml:space="preserve"> </w:t>
      </w:r>
      <w:proofErr w:type="spellStart"/>
      <w:r w:rsidR="00B45798" w:rsidRPr="006D3C51">
        <w:rPr>
          <w:rFonts w:ascii="Times New Roman" w:hAnsi="Times New Roman" w:cs="Times New Roman"/>
          <w:bCs/>
          <w:sz w:val="24"/>
          <w:szCs w:val="24"/>
        </w:rPr>
        <w:t>Hämäläinen</w:t>
      </w:r>
      <w:proofErr w:type="spellEnd"/>
      <w:r w:rsidR="00B45798" w:rsidRPr="006D3C51">
        <w:rPr>
          <w:rFonts w:ascii="Times New Roman" w:hAnsi="Times New Roman" w:cs="Times New Roman"/>
          <w:bCs/>
          <w:sz w:val="24"/>
          <w:szCs w:val="24"/>
        </w:rPr>
        <w:t xml:space="preserve">, declaró el TEDH, suscita delicadas cuestiones morales o éticas y se inserta en un momento histórico en el que todavía falta </w:t>
      </w:r>
      <w:r w:rsidRPr="006D3C51">
        <w:rPr>
          <w:rFonts w:ascii="Times New Roman" w:hAnsi="Times New Roman" w:cs="Times New Roman"/>
          <w:bCs/>
          <w:sz w:val="24"/>
          <w:szCs w:val="24"/>
        </w:rPr>
        <w:t>un consenso europeo</w:t>
      </w:r>
      <w:r w:rsidR="00B45798" w:rsidRPr="006D3C51">
        <w:rPr>
          <w:rFonts w:ascii="Times New Roman" w:hAnsi="Times New Roman" w:cs="Times New Roman"/>
          <w:bCs/>
          <w:sz w:val="24"/>
          <w:szCs w:val="24"/>
        </w:rPr>
        <w:t xml:space="preserve"> sobre el tema del matrimonio entre personas del mismo sexo y de los efectos del cambio de sexo en las parejas heterosexuales ya casadas</w:t>
      </w:r>
      <w:r w:rsidR="00FC39CD">
        <w:rPr>
          <w:rStyle w:val="Refdenotaalpie"/>
          <w:rFonts w:ascii="Times New Roman" w:hAnsi="Times New Roman" w:cs="Times New Roman"/>
          <w:bCs/>
          <w:sz w:val="24"/>
          <w:szCs w:val="24"/>
        </w:rPr>
        <w:footnoteReference w:id="35"/>
      </w:r>
      <w:r w:rsidR="00B45798" w:rsidRPr="006D3C51">
        <w:rPr>
          <w:rFonts w:ascii="Times New Roman" w:hAnsi="Times New Roman" w:cs="Times New Roman"/>
          <w:bCs/>
          <w:sz w:val="24"/>
          <w:szCs w:val="24"/>
        </w:rPr>
        <w:t>. Por tanto, el Tribunal</w:t>
      </w:r>
      <w:r w:rsidRPr="006D3C51">
        <w:rPr>
          <w:rFonts w:ascii="Times New Roman" w:hAnsi="Times New Roman" w:cs="Times New Roman"/>
          <w:bCs/>
          <w:sz w:val="24"/>
          <w:szCs w:val="24"/>
        </w:rPr>
        <w:t xml:space="preserve"> consider</w:t>
      </w:r>
      <w:r w:rsidR="00B45798" w:rsidRPr="006D3C51">
        <w:rPr>
          <w:rFonts w:ascii="Times New Roman" w:hAnsi="Times New Roman" w:cs="Times New Roman"/>
          <w:bCs/>
          <w:sz w:val="24"/>
          <w:szCs w:val="24"/>
        </w:rPr>
        <w:t>ó</w:t>
      </w:r>
      <w:r w:rsidRPr="006D3C51">
        <w:rPr>
          <w:rFonts w:ascii="Times New Roman" w:hAnsi="Times New Roman" w:cs="Times New Roman"/>
          <w:bCs/>
          <w:sz w:val="24"/>
          <w:szCs w:val="24"/>
        </w:rPr>
        <w:t xml:space="preserve"> que </w:t>
      </w:r>
      <w:r w:rsidR="00B45798" w:rsidRPr="006D3C51">
        <w:rPr>
          <w:rFonts w:ascii="Times New Roman" w:hAnsi="Times New Roman" w:cs="Times New Roman"/>
          <w:bCs/>
          <w:sz w:val="24"/>
          <w:szCs w:val="24"/>
        </w:rPr>
        <w:lastRenderedPageBreak/>
        <w:t>al Estado demandado goza</w:t>
      </w:r>
      <w:r w:rsidR="00EE14E1" w:rsidRPr="006D3C51">
        <w:rPr>
          <w:rFonts w:ascii="Times New Roman" w:hAnsi="Times New Roman" w:cs="Times New Roman"/>
          <w:bCs/>
          <w:sz w:val="24"/>
          <w:szCs w:val="24"/>
        </w:rPr>
        <w:t>ba</w:t>
      </w:r>
      <w:r w:rsidR="00B45798" w:rsidRPr="006D3C51">
        <w:rPr>
          <w:rFonts w:ascii="Times New Roman" w:hAnsi="Times New Roman" w:cs="Times New Roman"/>
          <w:bCs/>
          <w:sz w:val="24"/>
          <w:szCs w:val="24"/>
        </w:rPr>
        <w:t xml:space="preserve"> de un amplio </w:t>
      </w:r>
      <w:r w:rsidRPr="006D3C51">
        <w:rPr>
          <w:rFonts w:ascii="Times New Roman" w:hAnsi="Times New Roman" w:cs="Times New Roman"/>
          <w:bCs/>
          <w:sz w:val="24"/>
          <w:szCs w:val="24"/>
        </w:rPr>
        <w:t>margen de apreciación</w:t>
      </w:r>
      <w:r w:rsidR="00B45798" w:rsidRPr="006D3C51">
        <w:rPr>
          <w:rFonts w:ascii="Times New Roman" w:hAnsi="Times New Roman" w:cs="Times New Roman"/>
          <w:bCs/>
          <w:sz w:val="24"/>
          <w:szCs w:val="24"/>
        </w:rPr>
        <w:t xml:space="preserve">, </w:t>
      </w:r>
      <w:r w:rsidRPr="006D3C51">
        <w:rPr>
          <w:rFonts w:ascii="Times New Roman" w:hAnsi="Times New Roman" w:cs="Times New Roman"/>
          <w:bCs/>
          <w:sz w:val="24"/>
          <w:szCs w:val="24"/>
        </w:rPr>
        <w:t xml:space="preserve">tanto </w:t>
      </w:r>
      <w:r w:rsidR="00B45798" w:rsidRPr="006D3C51">
        <w:rPr>
          <w:rFonts w:ascii="Times New Roman" w:hAnsi="Times New Roman" w:cs="Times New Roman"/>
          <w:bCs/>
          <w:sz w:val="24"/>
          <w:szCs w:val="24"/>
        </w:rPr>
        <w:t>respecto de</w:t>
      </w:r>
      <w:r w:rsidRPr="006D3C51">
        <w:rPr>
          <w:rFonts w:ascii="Times New Roman" w:hAnsi="Times New Roman" w:cs="Times New Roman"/>
          <w:bCs/>
          <w:sz w:val="24"/>
          <w:szCs w:val="24"/>
        </w:rPr>
        <w:t xml:space="preserve"> la decisión de legislar o no sobre el reconocimiento legal de los cambios de sexo resultantes de operaciones </w:t>
      </w:r>
      <w:r w:rsidR="00B45798" w:rsidRPr="006D3C51">
        <w:rPr>
          <w:rFonts w:ascii="Times New Roman" w:hAnsi="Times New Roman" w:cs="Times New Roman"/>
          <w:bCs/>
          <w:sz w:val="24"/>
          <w:szCs w:val="24"/>
        </w:rPr>
        <w:t>quirúrgicas</w:t>
      </w:r>
      <w:r w:rsidRPr="006D3C51">
        <w:rPr>
          <w:rFonts w:ascii="Times New Roman" w:hAnsi="Times New Roman" w:cs="Times New Roman"/>
          <w:bCs/>
          <w:sz w:val="24"/>
          <w:szCs w:val="24"/>
        </w:rPr>
        <w:t xml:space="preserve"> como, en su caso, a las normas </w:t>
      </w:r>
      <w:r w:rsidR="00B45798" w:rsidRPr="006D3C51">
        <w:rPr>
          <w:rFonts w:ascii="Times New Roman" w:hAnsi="Times New Roman" w:cs="Times New Roman"/>
          <w:bCs/>
          <w:sz w:val="24"/>
          <w:szCs w:val="24"/>
        </w:rPr>
        <w:t>aprobadas</w:t>
      </w:r>
      <w:r w:rsidRPr="006D3C51">
        <w:rPr>
          <w:rFonts w:ascii="Times New Roman" w:hAnsi="Times New Roman" w:cs="Times New Roman"/>
          <w:bCs/>
          <w:sz w:val="24"/>
          <w:szCs w:val="24"/>
        </w:rPr>
        <w:t xml:space="preserve"> para lograr un equilibrio entre los intereses públicos y los intereses privados en conflicto.</w:t>
      </w:r>
      <w:r w:rsidR="00BD190A" w:rsidRPr="006D3C51">
        <w:rPr>
          <w:rFonts w:ascii="Times New Roman" w:hAnsi="Times New Roman" w:cs="Times New Roman"/>
          <w:bCs/>
          <w:sz w:val="24"/>
          <w:szCs w:val="24"/>
        </w:rPr>
        <w:t xml:space="preserve"> Además, e</w:t>
      </w:r>
      <w:r w:rsidRPr="006D3C51">
        <w:rPr>
          <w:rFonts w:ascii="Times New Roman" w:hAnsi="Times New Roman" w:cs="Times New Roman"/>
          <w:bCs/>
          <w:sz w:val="24"/>
          <w:szCs w:val="24"/>
        </w:rPr>
        <w:t xml:space="preserve">l ordenamiento </w:t>
      </w:r>
      <w:r w:rsidR="00BD190A" w:rsidRPr="006D3C51">
        <w:rPr>
          <w:rFonts w:ascii="Times New Roman" w:hAnsi="Times New Roman" w:cs="Times New Roman"/>
          <w:bCs/>
          <w:sz w:val="24"/>
          <w:szCs w:val="24"/>
        </w:rPr>
        <w:t xml:space="preserve">finlandés </w:t>
      </w:r>
      <w:r w:rsidRPr="006D3C51">
        <w:rPr>
          <w:rFonts w:ascii="Times New Roman" w:hAnsi="Times New Roman" w:cs="Times New Roman"/>
          <w:bCs/>
          <w:sz w:val="24"/>
          <w:szCs w:val="24"/>
        </w:rPr>
        <w:t>ofrec</w:t>
      </w:r>
      <w:r w:rsidR="00BD190A" w:rsidRPr="006D3C51">
        <w:rPr>
          <w:rFonts w:ascii="Times New Roman" w:hAnsi="Times New Roman" w:cs="Times New Roman"/>
          <w:bCs/>
          <w:sz w:val="24"/>
          <w:szCs w:val="24"/>
        </w:rPr>
        <w:t xml:space="preserve">ía </w:t>
      </w:r>
      <w:r w:rsidRPr="006D3C51">
        <w:rPr>
          <w:rFonts w:ascii="Times New Roman" w:hAnsi="Times New Roman" w:cs="Times New Roman"/>
          <w:bCs/>
          <w:sz w:val="24"/>
          <w:szCs w:val="24"/>
        </w:rPr>
        <w:t>a</w:t>
      </w:r>
      <w:r w:rsidR="00BD190A" w:rsidRPr="006D3C51">
        <w:rPr>
          <w:rFonts w:ascii="Times New Roman" w:hAnsi="Times New Roman" w:cs="Times New Roman"/>
          <w:bCs/>
          <w:sz w:val="24"/>
          <w:szCs w:val="24"/>
        </w:rPr>
        <w:t xml:space="preserve"> </w:t>
      </w:r>
      <w:r w:rsidRPr="006D3C51">
        <w:rPr>
          <w:rFonts w:ascii="Times New Roman" w:hAnsi="Times New Roman" w:cs="Times New Roman"/>
          <w:bCs/>
          <w:sz w:val="24"/>
          <w:szCs w:val="24"/>
        </w:rPr>
        <w:t>l</w:t>
      </w:r>
      <w:r w:rsidR="00BD190A" w:rsidRPr="006D3C51">
        <w:rPr>
          <w:rFonts w:ascii="Times New Roman" w:hAnsi="Times New Roman" w:cs="Times New Roman"/>
          <w:bCs/>
          <w:sz w:val="24"/>
          <w:szCs w:val="24"/>
        </w:rPr>
        <w:t>a</w:t>
      </w:r>
      <w:r w:rsidRPr="006D3C51">
        <w:rPr>
          <w:rFonts w:ascii="Times New Roman" w:hAnsi="Times New Roman" w:cs="Times New Roman"/>
          <w:bCs/>
          <w:sz w:val="24"/>
          <w:szCs w:val="24"/>
        </w:rPr>
        <w:t xml:space="preserve"> demandante varias opciones</w:t>
      </w:r>
      <w:r w:rsidR="00BD190A" w:rsidRPr="006D3C51">
        <w:rPr>
          <w:rFonts w:ascii="Times New Roman" w:hAnsi="Times New Roman" w:cs="Times New Roman"/>
          <w:bCs/>
          <w:sz w:val="24"/>
          <w:szCs w:val="24"/>
        </w:rPr>
        <w:t xml:space="preserve"> para tutelar sus derechos e intereses, entre las cuales transformar su matrimonio en una unión civil registrada. </w:t>
      </w:r>
    </w:p>
    <w:p w14:paraId="3DBCCBF3" w14:textId="7795C3BB" w:rsidR="001B22E6" w:rsidRPr="006D3C51" w:rsidRDefault="007243D7" w:rsidP="00781D53">
      <w:pPr>
        <w:spacing w:after="0" w:line="276" w:lineRule="auto"/>
        <w:jc w:val="both"/>
        <w:rPr>
          <w:rFonts w:ascii="Times New Roman" w:hAnsi="Times New Roman" w:cs="Times New Roman"/>
          <w:bCs/>
          <w:sz w:val="24"/>
          <w:szCs w:val="24"/>
        </w:rPr>
      </w:pPr>
      <w:r w:rsidRPr="006D3C51">
        <w:rPr>
          <w:rFonts w:ascii="Times New Roman" w:hAnsi="Times New Roman" w:cs="Times New Roman"/>
          <w:bCs/>
          <w:sz w:val="24"/>
          <w:szCs w:val="24"/>
        </w:rPr>
        <w:t>En consecuencia</w:t>
      </w:r>
      <w:r w:rsidR="0068371F" w:rsidRPr="006D3C51">
        <w:rPr>
          <w:rFonts w:ascii="Times New Roman" w:hAnsi="Times New Roman" w:cs="Times New Roman"/>
          <w:bCs/>
          <w:sz w:val="24"/>
          <w:szCs w:val="24"/>
        </w:rPr>
        <w:t>, Finlandia había establecido un marco legal diseñado para proteger los derechos de los transexuales y regular el reconocimiento legal de las reasignaciones de sexo.</w:t>
      </w:r>
      <w:r w:rsidR="004D06D7" w:rsidRPr="006D3C51">
        <w:rPr>
          <w:rFonts w:ascii="Times New Roman" w:hAnsi="Times New Roman" w:cs="Times New Roman"/>
          <w:bCs/>
          <w:sz w:val="24"/>
          <w:szCs w:val="24"/>
        </w:rPr>
        <w:t xml:space="preserve"> </w:t>
      </w:r>
      <w:r w:rsidR="001B22E6" w:rsidRPr="006D3C51">
        <w:rPr>
          <w:rFonts w:ascii="Times New Roman" w:hAnsi="Times New Roman" w:cs="Times New Roman"/>
          <w:bCs/>
          <w:sz w:val="24"/>
          <w:szCs w:val="24"/>
        </w:rPr>
        <w:t xml:space="preserve">Por todo lo dicho, el TEDH concluyó que no hubo violación de dicho artículo del Convenio. </w:t>
      </w:r>
    </w:p>
    <w:p w14:paraId="61F186FE" w14:textId="77777777" w:rsidR="00623C04" w:rsidRDefault="00623C04" w:rsidP="00781D53">
      <w:pPr>
        <w:spacing w:after="0" w:line="276" w:lineRule="auto"/>
        <w:jc w:val="both"/>
        <w:rPr>
          <w:rFonts w:ascii="Times New Roman" w:hAnsi="Times New Roman" w:cs="Times New Roman"/>
          <w:b/>
          <w:bCs/>
          <w:sz w:val="24"/>
          <w:szCs w:val="24"/>
        </w:rPr>
      </w:pPr>
    </w:p>
    <w:p w14:paraId="28A092FF" w14:textId="13651D73" w:rsidR="00623C04" w:rsidRPr="00623C04" w:rsidRDefault="00623C04" w:rsidP="00781D53">
      <w:pPr>
        <w:spacing w:after="0" w:line="276" w:lineRule="auto"/>
        <w:jc w:val="both"/>
        <w:rPr>
          <w:rFonts w:ascii="Times New Roman" w:hAnsi="Times New Roman" w:cs="Times New Roman"/>
          <w:b/>
          <w:bCs/>
          <w:sz w:val="24"/>
          <w:szCs w:val="24"/>
        </w:rPr>
      </w:pPr>
      <w:r w:rsidRPr="00623C04">
        <w:rPr>
          <w:rFonts w:ascii="Times New Roman" w:hAnsi="Times New Roman" w:cs="Times New Roman"/>
          <w:b/>
          <w:bCs/>
          <w:sz w:val="24"/>
          <w:szCs w:val="24"/>
        </w:rPr>
        <w:t xml:space="preserve">2. El control </w:t>
      </w:r>
      <w:r w:rsidR="008C10AB">
        <w:rPr>
          <w:rFonts w:ascii="Times New Roman" w:hAnsi="Times New Roman" w:cs="Times New Roman"/>
          <w:b/>
          <w:bCs/>
          <w:sz w:val="24"/>
          <w:szCs w:val="24"/>
        </w:rPr>
        <w:t xml:space="preserve">por parte del Tribunal Europeo </w:t>
      </w:r>
      <w:r w:rsidRPr="00623C04">
        <w:rPr>
          <w:rFonts w:ascii="Times New Roman" w:hAnsi="Times New Roman" w:cs="Times New Roman"/>
          <w:b/>
          <w:bCs/>
          <w:sz w:val="24"/>
          <w:szCs w:val="24"/>
        </w:rPr>
        <w:t>de los requisitos para obtener el cambio registral del sexo</w:t>
      </w:r>
      <w:r w:rsidR="00720E6B">
        <w:rPr>
          <w:rFonts w:ascii="Times New Roman" w:hAnsi="Times New Roman" w:cs="Times New Roman"/>
          <w:b/>
          <w:bCs/>
          <w:sz w:val="24"/>
          <w:szCs w:val="24"/>
        </w:rPr>
        <w:t xml:space="preserve"> y ampliación de la protección también a las personas transexuales no operadas</w:t>
      </w:r>
      <w:r w:rsidR="001077BA">
        <w:rPr>
          <w:rFonts w:ascii="Times New Roman" w:hAnsi="Times New Roman" w:cs="Times New Roman"/>
          <w:b/>
          <w:bCs/>
          <w:sz w:val="24"/>
          <w:szCs w:val="24"/>
        </w:rPr>
        <w:t>.</w:t>
      </w:r>
    </w:p>
    <w:p w14:paraId="10C9CBEA" w14:textId="77777777" w:rsidR="00623C04" w:rsidRDefault="00623C04" w:rsidP="00781D53">
      <w:pPr>
        <w:spacing w:after="0" w:line="276" w:lineRule="auto"/>
        <w:jc w:val="both"/>
        <w:rPr>
          <w:rFonts w:ascii="Times New Roman" w:hAnsi="Times New Roman" w:cs="Times New Roman"/>
          <w:sz w:val="24"/>
          <w:szCs w:val="24"/>
        </w:rPr>
      </w:pPr>
    </w:p>
    <w:p w14:paraId="763B27BD" w14:textId="36AF15A4" w:rsidR="007A007E" w:rsidRPr="006D3C51" w:rsidRDefault="00C64981"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El asunto </w:t>
      </w:r>
      <w:r w:rsidRPr="00781D53">
        <w:rPr>
          <w:rFonts w:ascii="Times New Roman" w:hAnsi="Times New Roman" w:cs="Times New Roman"/>
          <w:i/>
          <w:iCs/>
          <w:sz w:val="24"/>
          <w:szCs w:val="24"/>
        </w:rPr>
        <w:t>Y.Y. c. Turquía</w:t>
      </w:r>
      <w:r w:rsidRPr="00781D53">
        <w:rPr>
          <w:rFonts w:ascii="Times New Roman" w:hAnsi="Times New Roman" w:cs="Times New Roman"/>
          <w:sz w:val="24"/>
          <w:szCs w:val="24"/>
        </w:rPr>
        <w:t>, resuelto</w:t>
      </w:r>
      <w:r w:rsidRPr="006D3C51">
        <w:rPr>
          <w:rFonts w:ascii="Times New Roman" w:hAnsi="Times New Roman" w:cs="Times New Roman"/>
          <w:sz w:val="24"/>
          <w:szCs w:val="24"/>
        </w:rPr>
        <w:t xml:space="preserve"> el 10 de marzo de 2015</w:t>
      </w:r>
      <w:r w:rsidR="00FC37A4" w:rsidRPr="006D3C51">
        <w:rPr>
          <w:rStyle w:val="Refdenotaalpie"/>
          <w:rFonts w:ascii="Times New Roman" w:hAnsi="Times New Roman" w:cs="Times New Roman"/>
          <w:sz w:val="24"/>
          <w:szCs w:val="24"/>
        </w:rPr>
        <w:footnoteReference w:id="36"/>
      </w:r>
      <w:r w:rsidR="00FB4A03">
        <w:rPr>
          <w:rFonts w:ascii="Times New Roman" w:hAnsi="Times New Roman" w:cs="Times New Roman"/>
          <w:sz w:val="24"/>
          <w:szCs w:val="24"/>
        </w:rPr>
        <w:t>,</w:t>
      </w:r>
      <w:r w:rsidRPr="006D3C51">
        <w:rPr>
          <w:rFonts w:ascii="Times New Roman" w:hAnsi="Times New Roman" w:cs="Times New Roman"/>
          <w:sz w:val="24"/>
          <w:szCs w:val="24"/>
        </w:rPr>
        <w:t xml:space="preserve"> constituye un caso emblemático porque el TEDH se pronunció sobre </w:t>
      </w:r>
      <w:r w:rsidR="007A007E" w:rsidRPr="006D3C51">
        <w:rPr>
          <w:rFonts w:ascii="Times New Roman" w:hAnsi="Times New Roman" w:cs="Times New Roman"/>
          <w:sz w:val="24"/>
          <w:szCs w:val="24"/>
        </w:rPr>
        <w:t xml:space="preserve">los requisitos de acceso </w:t>
      </w:r>
      <w:r w:rsidRPr="006D3C51">
        <w:rPr>
          <w:rFonts w:ascii="Times New Roman" w:hAnsi="Times New Roman" w:cs="Times New Roman"/>
          <w:sz w:val="24"/>
          <w:szCs w:val="24"/>
        </w:rPr>
        <w:t>para</w:t>
      </w:r>
      <w:r w:rsidR="007A007E" w:rsidRPr="006D3C51">
        <w:rPr>
          <w:rFonts w:ascii="Times New Roman" w:hAnsi="Times New Roman" w:cs="Times New Roman"/>
          <w:sz w:val="24"/>
          <w:szCs w:val="24"/>
        </w:rPr>
        <w:t xml:space="preserve"> </w:t>
      </w:r>
      <w:r w:rsidRPr="006D3C51">
        <w:rPr>
          <w:rFonts w:ascii="Times New Roman" w:hAnsi="Times New Roman" w:cs="Times New Roman"/>
          <w:sz w:val="24"/>
          <w:szCs w:val="24"/>
        </w:rPr>
        <w:t>el</w:t>
      </w:r>
      <w:r w:rsidR="007A007E" w:rsidRPr="006D3C51">
        <w:rPr>
          <w:rFonts w:ascii="Times New Roman" w:hAnsi="Times New Roman" w:cs="Times New Roman"/>
          <w:sz w:val="24"/>
          <w:szCs w:val="24"/>
        </w:rPr>
        <w:t xml:space="preserve"> cambio de sexo</w:t>
      </w:r>
      <w:r w:rsidRPr="006D3C51">
        <w:rPr>
          <w:rFonts w:ascii="Times New Roman" w:hAnsi="Times New Roman" w:cs="Times New Roman"/>
          <w:sz w:val="24"/>
          <w:szCs w:val="24"/>
        </w:rPr>
        <w:t xml:space="preserve"> de las personas transexuales. </w:t>
      </w:r>
    </w:p>
    <w:p w14:paraId="2FD17D66" w14:textId="20CF2DBB" w:rsidR="00443481" w:rsidRPr="006D3C51" w:rsidRDefault="00C64981"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El </w:t>
      </w:r>
      <w:r w:rsidR="00443481" w:rsidRPr="006D3C51">
        <w:rPr>
          <w:rFonts w:ascii="Times New Roman" w:hAnsi="Times New Roman" w:cs="Times New Roman"/>
          <w:sz w:val="24"/>
          <w:szCs w:val="24"/>
        </w:rPr>
        <w:t>demandante</w:t>
      </w:r>
      <w:r w:rsidRPr="006D3C51">
        <w:rPr>
          <w:rFonts w:ascii="Times New Roman" w:hAnsi="Times New Roman" w:cs="Times New Roman"/>
          <w:sz w:val="24"/>
          <w:szCs w:val="24"/>
        </w:rPr>
        <w:t>, transexual que nació con sexo femenino pero que empezó un tratamiento de conversión al sexo opuesto,</w:t>
      </w:r>
      <w:r w:rsidR="00443481" w:rsidRPr="006D3C51">
        <w:rPr>
          <w:rFonts w:ascii="Times New Roman" w:hAnsi="Times New Roman" w:cs="Times New Roman"/>
          <w:sz w:val="24"/>
          <w:szCs w:val="24"/>
        </w:rPr>
        <w:t xml:space="preserve"> qu</w:t>
      </w:r>
      <w:r w:rsidRPr="006D3C51">
        <w:rPr>
          <w:rFonts w:ascii="Times New Roman" w:hAnsi="Times New Roman" w:cs="Times New Roman"/>
          <w:sz w:val="24"/>
          <w:szCs w:val="24"/>
        </w:rPr>
        <w:t>iso</w:t>
      </w:r>
      <w:r w:rsidR="00443481" w:rsidRPr="006D3C51">
        <w:rPr>
          <w:rFonts w:ascii="Times New Roman" w:hAnsi="Times New Roman" w:cs="Times New Roman"/>
          <w:sz w:val="24"/>
          <w:szCs w:val="24"/>
        </w:rPr>
        <w:t xml:space="preserve"> que se le autorizase a ser sometido a una operación </w:t>
      </w:r>
      <w:r w:rsidRPr="006D3C51">
        <w:rPr>
          <w:rFonts w:ascii="Times New Roman" w:hAnsi="Times New Roman" w:cs="Times New Roman"/>
          <w:sz w:val="24"/>
          <w:szCs w:val="24"/>
        </w:rPr>
        <w:t xml:space="preserve">quirúrgica </w:t>
      </w:r>
      <w:r w:rsidR="00443481" w:rsidRPr="006D3C51">
        <w:rPr>
          <w:rFonts w:ascii="Times New Roman" w:hAnsi="Times New Roman" w:cs="Times New Roman"/>
          <w:sz w:val="24"/>
          <w:szCs w:val="24"/>
        </w:rPr>
        <w:t>de cambio de sexo, que</w:t>
      </w:r>
      <w:r w:rsidRPr="006D3C51">
        <w:rPr>
          <w:rFonts w:ascii="Times New Roman" w:hAnsi="Times New Roman" w:cs="Times New Roman"/>
          <w:sz w:val="24"/>
          <w:szCs w:val="24"/>
        </w:rPr>
        <w:t>, sin embargo,</w:t>
      </w:r>
      <w:r w:rsidR="00443481" w:rsidRPr="006D3C51">
        <w:rPr>
          <w:rFonts w:ascii="Times New Roman" w:hAnsi="Times New Roman" w:cs="Times New Roman"/>
          <w:sz w:val="24"/>
          <w:szCs w:val="24"/>
        </w:rPr>
        <w:t xml:space="preserve"> fue denegada</w:t>
      </w:r>
      <w:r w:rsidRPr="006D3C51">
        <w:rPr>
          <w:rFonts w:ascii="Times New Roman" w:hAnsi="Times New Roman" w:cs="Times New Roman"/>
          <w:sz w:val="24"/>
          <w:szCs w:val="24"/>
        </w:rPr>
        <w:t xml:space="preserve"> por los tribunales. Las autoridades turcas alega</w:t>
      </w:r>
      <w:r w:rsidR="009E7C8E" w:rsidRPr="006D3C51">
        <w:rPr>
          <w:rFonts w:ascii="Times New Roman" w:hAnsi="Times New Roman" w:cs="Times New Roman"/>
          <w:sz w:val="24"/>
          <w:szCs w:val="24"/>
        </w:rPr>
        <w:t>ron</w:t>
      </w:r>
      <w:r w:rsidRPr="006D3C51">
        <w:rPr>
          <w:rFonts w:ascii="Times New Roman" w:hAnsi="Times New Roman" w:cs="Times New Roman"/>
          <w:sz w:val="24"/>
          <w:szCs w:val="24"/>
        </w:rPr>
        <w:t xml:space="preserve"> que </w:t>
      </w:r>
      <w:r w:rsidR="009E7C8E" w:rsidRPr="006D3C51">
        <w:rPr>
          <w:rFonts w:ascii="Times New Roman" w:hAnsi="Times New Roman" w:cs="Times New Roman"/>
          <w:sz w:val="24"/>
          <w:szCs w:val="24"/>
        </w:rPr>
        <w:t>el</w:t>
      </w:r>
      <w:r w:rsidRPr="006D3C51">
        <w:rPr>
          <w:rFonts w:ascii="Times New Roman" w:hAnsi="Times New Roman" w:cs="Times New Roman"/>
          <w:sz w:val="24"/>
          <w:szCs w:val="24"/>
        </w:rPr>
        <w:t xml:space="preserve"> solicita</w:t>
      </w:r>
      <w:r w:rsidR="009E7C8E" w:rsidRPr="006D3C51">
        <w:rPr>
          <w:rFonts w:ascii="Times New Roman" w:hAnsi="Times New Roman" w:cs="Times New Roman"/>
          <w:sz w:val="24"/>
          <w:szCs w:val="24"/>
        </w:rPr>
        <w:t>nte</w:t>
      </w:r>
      <w:r w:rsidRPr="006D3C51">
        <w:rPr>
          <w:rFonts w:ascii="Times New Roman" w:hAnsi="Times New Roman" w:cs="Times New Roman"/>
          <w:sz w:val="24"/>
          <w:szCs w:val="24"/>
        </w:rPr>
        <w:t xml:space="preserve"> no estaba permanentemente </w:t>
      </w:r>
      <w:r w:rsidR="009E7C8E" w:rsidRPr="006D3C51">
        <w:rPr>
          <w:rFonts w:ascii="Times New Roman" w:hAnsi="Times New Roman" w:cs="Times New Roman"/>
          <w:sz w:val="24"/>
          <w:szCs w:val="24"/>
        </w:rPr>
        <w:t>incapacitado</w:t>
      </w:r>
      <w:r w:rsidRPr="006D3C51">
        <w:rPr>
          <w:rFonts w:ascii="Times New Roman" w:hAnsi="Times New Roman" w:cs="Times New Roman"/>
          <w:sz w:val="24"/>
          <w:szCs w:val="24"/>
        </w:rPr>
        <w:t xml:space="preserve"> para procrear</w:t>
      </w:r>
      <w:r w:rsidR="00443481" w:rsidRPr="006D3C51">
        <w:rPr>
          <w:rFonts w:ascii="Times New Roman" w:hAnsi="Times New Roman" w:cs="Times New Roman"/>
          <w:sz w:val="24"/>
          <w:szCs w:val="24"/>
        </w:rPr>
        <w:t xml:space="preserve"> (§ 44). </w:t>
      </w:r>
      <w:r w:rsidR="000300EF" w:rsidRPr="006D3C51">
        <w:rPr>
          <w:rFonts w:ascii="Times New Roman" w:hAnsi="Times New Roman" w:cs="Times New Roman"/>
          <w:sz w:val="24"/>
          <w:szCs w:val="24"/>
        </w:rPr>
        <w:t xml:space="preserve">El Sr. Y.Y. consiguió, después de varios años, la autorización. </w:t>
      </w:r>
      <w:r w:rsidR="00443481" w:rsidRPr="006D3C51">
        <w:rPr>
          <w:rFonts w:ascii="Times New Roman" w:hAnsi="Times New Roman" w:cs="Times New Roman"/>
          <w:sz w:val="24"/>
          <w:szCs w:val="24"/>
        </w:rPr>
        <w:t xml:space="preserve">El Tribunal </w:t>
      </w:r>
      <w:r w:rsidR="000300EF" w:rsidRPr="006D3C51">
        <w:rPr>
          <w:rFonts w:ascii="Times New Roman" w:hAnsi="Times New Roman" w:cs="Times New Roman"/>
          <w:sz w:val="24"/>
          <w:szCs w:val="24"/>
        </w:rPr>
        <w:t xml:space="preserve">Europeo </w:t>
      </w:r>
      <w:r w:rsidR="00443481" w:rsidRPr="006D3C51">
        <w:rPr>
          <w:rFonts w:ascii="Times New Roman" w:hAnsi="Times New Roman" w:cs="Times New Roman"/>
          <w:sz w:val="24"/>
          <w:szCs w:val="24"/>
        </w:rPr>
        <w:t>consideró que, al negar al demandante durante años la posibilidad de acceder a la operación de cambio de sexo, el Estado vulneró el derecho del interesado al respeto de su vida privada (§§ 121-122).</w:t>
      </w:r>
    </w:p>
    <w:p w14:paraId="20D5EC67" w14:textId="2EA27754" w:rsidR="001E197A" w:rsidRPr="006D3C51" w:rsidRDefault="000B5714"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Algunas de las afirmaciones de la Corte de Estrasburgo contenidas en esta decisión son de especial relevancia para los fines de este trabajo. </w:t>
      </w:r>
    </w:p>
    <w:p w14:paraId="29C8ADD4" w14:textId="53C7D9A2" w:rsidR="005A5A44" w:rsidRPr="006D3C51" w:rsidRDefault="005A5A44"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Pero</w:t>
      </w:r>
      <w:r w:rsidR="00AE7525">
        <w:rPr>
          <w:rFonts w:ascii="Times New Roman" w:hAnsi="Times New Roman" w:cs="Times New Roman"/>
          <w:sz w:val="24"/>
          <w:szCs w:val="24"/>
        </w:rPr>
        <w:t>,</w:t>
      </w:r>
      <w:r w:rsidRPr="006D3C51">
        <w:rPr>
          <w:rFonts w:ascii="Times New Roman" w:hAnsi="Times New Roman" w:cs="Times New Roman"/>
          <w:sz w:val="24"/>
          <w:szCs w:val="24"/>
        </w:rPr>
        <w:t xml:space="preserve"> antes, es conveniente apuntar a una característica de esta sentencia que se volverá a presentar también en las decisiones posteriores relativas a la protección de las personas transexuales (y no solo) y que tiene que ver con la técnica de elaboración de la decisión misma. Por primera vez, en tema de condición de las personas trans, el Tribunal de Estrasburgo </w:t>
      </w:r>
      <w:r w:rsidR="00B42F8C" w:rsidRPr="006D3C51">
        <w:rPr>
          <w:rFonts w:ascii="Times New Roman" w:hAnsi="Times New Roman" w:cs="Times New Roman"/>
          <w:sz w:val="24"/>
          <w:szCs w:val="24"/>
        </w:rPr>
        <w:t>incluye, en el apartado relativo al Derecho relevante o aplicable, una sección relativa a los “Textos europeos e internacionales” sobre protección del colectivo transexual, seguido por un análisis de “La legislación y la práctica vigentes en los Estados miembros del Consejo de Europa”</w:t>
      </w:r>
      <w:r w:rsidR="00D939B5" w:rsidRPr="006D3C51">
        <w:rPr>
          <w:rFonts w:ascii="Times New Roman" w:hAnsi="Times New Roman" w:cs="Times New Roman"/>
          <w:sz w:val="24"/>
          <w:szCs w:val="24"/>
        </w:rPr>
        <w:t>,</w:t>
      </w:r>
      <w:r w:rsidR="00B42F8C" w:rsidRPr="006D3C51">
        <w:rPr>
          <w:rFonts w:ascii="Times New Roman" w:hAnsi="Times New Roman" w:cs="Times New Roman"/>
          <w:sz w:val="24"/>
          <w:szCs w:val="24"/>
        </w:rPr>
        <w:t xml:space="preserve"> siempre sobre esta temática. </w:t>
      </w:r>
    </w:p>
    <w:p w14:paraId="3E55F661" w14:textId="782CE565" w:rsidR="00443481" w:rsidRPr="006D3C51" w:rsidRDefault="00D939B5"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En ese apartado, el TEDH examinó los criterios establecidos en los diferentes Estados miembros del Consejo de Europa que deb</w:t>
      </w:r>
      <w:r w:rsidR="00E26091" w:rsidRPr="006D3C51">
        <w:rPr>
          <w:rFonts w:ascii="Times New Roman" w:hAnsi="Times New Roman" w:cs="Times New Roman"/>
          <w:sz w:val="24"/>
          <w:szCs w:val="24"/>
        </w:rPr>
        <w:t>ía</w:t>
      </w:r>
      <w:r w:rsidRPr="006D3C51">
        <w:rPr>
          <w:rFonts w:ascii="Times New Roman" w:hAnsi="Times New Roman" w:cs="Times New Roman"/>
          <w:sz w:val="24"/>
          <w:szCs w:val="24"/>
        </w:rPr>
        <w:t xml:space="preserve"> cumplir la persona trans para acceder al tratamiento de reasignación de género; estos </w:t>
      </w:r>
      <w:r w:rsidR="00E26091" w:rsidRPr="006D3C51">
        <w:rPr>
          <w:rFonts w:ascii="Times New Roman" w:hAnsi="Times New Roman" w:cs="Times New Roman"/>
          <w:sz w:val="24"/>
          <w:szCs w:val="24"/>
        </w:rPr>
        <w:t>podían</w:t>
      </w:r>
      <w:r w:rsidRPr="006D3C51">
        <w:rPr>
          <w:rFonts w:ascii="Times New Roman" w:hAnsi="Times New Roman" w:cs="Times New Roman"/>
          <w:sz w:val="24"/>
          <w:szCs w:val="24"/>
        </w:rPr>
        <w:t xml:space="preserve"> </w:t>
      </w:r>
      <w:r w:rsidR="00E26091" w:rsidRPr="006D3C51">
        <w:rPr>
          <w:rFonts w:ascii="Times New Roman" w:hAnsi="Times New Roman" w:cs="Times New Roman"/>
          <w:sz w:val="24"/>
          <w:szCs w:val="24"/>
        </w:rPr>
        <w:t>estar</w:t>
      </w:r>
      <w:r w:rsidRPr="006D3C51">
        <w:rPr>
          <w:rFonts w:ascii="Times New Roman" w:hAnsi="Times New Roman" w:cs="Times New Roman"/>
          <w:sz w:val="24"/>
          <w:szCs w:val="24"/>
        </w:rPr>
        <w:t xml:space="preserve"> establecidos por ley, por </w:t>
      </w:r>
      <w:r w:rsidRPr="006D3C51">
        <w:rPr>
          <w:rFonts w:ascii="Times New Roman" w:hAnsi="Times New Roman" w:cs="Times New Roman"/>
          <w:sz w:val="24"/>
          <w:szCs w:val="24"/>
        </w:rPr>
        <w:lastRenderedPageBreak/>
        <w:t>normativa reglamentaria, por recomendaciones o, en algunos casos, esta cuestión no est</w:t>
      </w:r>
      <w:r w:rsidR="00E26091" w:rsidRPr="006D3C51">
        <w:rPr>
          <w:rFonts w:ascii="Times New Roman" w:hAnsi="Times New Roman" w:cs="Times New Roman"/>
          <w:sz w:val="24"/>
          <w:szCs w:val="24"/>
        </w:rPr>
        <w:t>aba</w:t>
      </w:r>
      <w:r w:rsidRPr="006D3C51">
        <w:rPr>
          <w:rFonts w:ascii="Times New Roman" w:hAnsi="Times New Roman" w:cs="Times New Roman"/>
          <w:sz w:val="24"/>
          <w:szCs w:val="24"/>
        </w:rPr>
        <w:t xml:space="preserve"> regulada y </w:t>
      </w:r>
      <w:r w:rsidR="00E26091" w:rsidRPr="006D3C51">
        <w:rPr>
          <w:rFonts w:ascii="Times New Roman" w:hAnsi="Times New Roman" w:cs="Times New Roman"/>
          <w:sz w:val="24"/>
          <w:szCs w:val="24"/>
        </w:rPr>
        <w:t>constituía</w:t>
      </w:r>
      <w:r w:rsidRPr="006D3C51">
        <w:rPr>
          <w:rFonts w:ascii="Times New Roman" w:hAnsi="Times New Roman" w:cs="Times New Roman"/>
          <w:sz w:val="24"/>
          <w:szCs w:val="24"/>
        </w:rPr>
        <w:t xml:space="preserve"> más bien una cuestión de práctica médica. </w:t>
      </w:r>
    </w:p>
    <w:p w14:paraId="54196AB8" w14:textId="742CE9D4" w:rsidR="00D939B5" w:rsidRPr="006D3C51" w:rsidRDefault="00DD37F1"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Para obtener la</w:t>
      </w:r>
      <w:r w:rsidR="00D939B5" w:rsidRPr="006D3C51">
        <w:rPr>
          <w:rFonts w:ascii="Times New Roman" w:hAnsi="Times New Roman" w:cs="Times New Roman"/>
          <w:sz w:val="24"/>
          <w:szCs w:val="24"/>
        </w:rPr>
        <w:t xml:space="preserve"> reasignación de </w:t>
      </w:r>
      <w:r w:rsidRPr="006D3C51">
        <w:rPr>
          <w:rFonts w:ascii="Times New Roman" w:hAnsi="Times New Roman" w:cs="Times New Roman"/>
          <w:sz w:val="24"/>
          <w:szCs w:val="24"/>
        </w:rPr>
        <w:t>sexo,</w:t>
      </w:r>
      <w:r w:rsidR="00D939B5" w:rsidRPr="006D3C51">
        <w:rPr>
          <w:rFonts w:ascii="Times New Roman" w:hAnsi="Times New Roman" w:cs="Times New Roman"/>
          <w:sz w:val="24"/>
          <w:szCs w:val="24"/>
        </w:rPr>
        <w:t xml:space="preserve"> </w:t>
      </w:r>
      <w:r w:rsidRPr="006D3C51">
        <w:rPr>
          <w:rFonts w:ascii="Times New Roman" w:hAnsi="Times New Roman" w:cs="Times New Roman"/>
          <w:sz w:val="24"/>
          <w:szCs w:val="24"/>
        </w:rPr>
        <w:t>los E</w:t>
      </w:r>
      <w:r w:rsidR="00D939B5" w:rsidRPr="006D3C51">
        <w:rPr>
          <w:rFonts w:ascii="Times New Roman" w:hAnsi="Times New Roman" w:cs="Times New Roman"/>
          <w:sz w:val="24"/>
          <w:szCs w:val="24"/>
        </w:rPr>
        <w:t>stados ha</w:t>
      </w:r>
      <w:r w:rsidR="00E26091" w:rsidRPr="006D3C51">
        <w:rPr>
          <w:rFonts w:ascii="Times New Roman" w:hAnsi="Times New Roman" w:cs="Times New Roman"/>
          <w:sz w:val="24"/>
          <w:szCs w:val="24"/>
        </w:rPr>
        <w:t>bían</w:t>
      </w:r>
      <w:r w:rsidR="00D939B5" w:rsidRPr="006D3C51">
        <w:rPr>
          <w:rFonts w:ascii="Times New Roman" w:hAnsi="Times New Roman" w:cs="Times New Roman"/>
          <w:sz w:val="24"/>
          <w:szCs w:val="24"/>
        </w:rPr>
        <w:t xml:space="preserve"> identificado criterios específicos</w:t>
      </w:r>
      <w:r w:rsidRPr="006D3C51">
        <w:rPr>
          <w:rFonts w:ascii="Times New Roman" w:hAnsi="Times New Roman" w:cs="Times New Roman"/>
          <w:sz w:val="24"/>
          <w:szCs w:val="24"/>
        </w:rPr>
        <w:t xml:space="preserve">, que </w:t>
      </w:r>
      <w:r w:rsidR="00E26091" w:rsidRPr="006D3C51">
        <w:rPr>
          <w:rFonts w:ascii="Times New Roman" w:hAnsi="Times New Roman" w:cs="Times New Roman"/>
          <w:sz w:val="24"/>
          <w:szCs w:val="24"/>
        </w:rPr>
        <w:t>iban</w:t>
      </w:r>
      <w:r w:rsidRPr="006D3C51">
        <w:rPr>
          <w:rFonts w:ascii="Times New Roman" w:hAnsi="Times New Roman" w:cs="Times New Roman"/>
          <w:sz w:val="24"/>
          <w:szCs w:val="24"/>
        </w:rPr>
        <w:t xml:space="preserve"> desde </w:t>
      </w:r>
      <w:r w:rsidR="00D939B5" w:rsidRPr="006D3C51">
        <w:rPr>
          <w:rFonts w:ascii="Times New Roman" w:hAnsi="Times New Roman" w:cs="Times New Roman"/>
          <w:sz w:val="24"/>
          <w:szCs w:val="24"/>
        </w:rPr>
        <w:t>el tratamiento hormonal previo</w:t>
      </w:r>
      <w:r w:rsidRPr="006D3C51">
        <w:rPr>
          <w:rFonts w:ascii="Times New Roman" w:hAnsi="Times New Roman" w:cs="Times New Roman"/>
          <w:sz w:val="24"/>
          <w:szCs w:val="24"/>
        </w:rPr>
        <w:t xml:space="preserve"> a la operación quirúrgica de cambio de sexo,</w:t>
      </w:r>
      <w:r w:rsidR="00D939B5" w:rsidRPr="006D3C51">
        <w:rPr>
          <w:rFonts w:ascii="Times New Roman" w:hAnsi="Times New Roman" w:cs="Times New Roman"/>
          <w:sz w:val="24"/>
          <w:szCs w:val="24"/>
        </w:rPr>
        <w:t xml:space="preserve"> el test </w:t>
      </w:r>
      <w:r w:rsidRPr="006D3C51">
        <w:rPr>
          <w:rFonts w:ascii="Times New Roman" w:hAnsi="Times New Roman" w:cs="Times New Roman"/>
          <w:sz w:val="24"/>
          <w:szCs w:val="24"/>
        </w:rPr>
        <w:t>denominado de la “experiencia de vida real”</w:t>
      </w:r>
      <w:r w:rsidRPr="006D3C51">
        <w:rPr>
          <w:rStyle w:val="Refdenotaalpie"/>
          <w:rFonts w:ascii="Times New Roman" w:hAnsi="Times New Roman" w:cs="Times New Roman"/>
          <w:sz w:val="24"/>
          <w:szCs w:val="24"/>
        </w:rPr>
        <w:footnoteReference w:id="37"/>
      </w:r>
      <w:r w:rsidR="00C63C49">
        <w:rPr>
          <w:rFonts w:ascii="Times New Roman" w:hAnsi="Times New Roman" w:cs="Times New Roman"/>
          <w:sz w:val="24"/>
          <w:szCs w:val="24"/>
        </w:rPr>
        <w:t>,</w:t>
      </w:r>
      <w:r w:rsidR="00D939B5" w:rsidRPr="006D3C51">
        <w:rPr>
          <w:rFonts w:ascii="Times New Roman" w:hAnsi="Times New Roman" w:cs="Times New Roman"/>
          <w:sz w:val="24"/>
          <w:szCs w:val="24"/>
        </w:rPr>
        <w:t xml:space="preserve"> </w:t>
      </w:r>
      <w:r w:rsidR="00E26091" w:rsidRPr="006D3C51">
        <w:rPr>
          <w:rFonts w:ascii="Times New Roman" w:hAnsi="Times New Roman" w:cs="Times New Roman"/>
          <w:sz w:val="24"/>
          <w:szCs w:val="24"/>
        </w:rPr>
        <w:t xml:space="preserve">el </w:t>
      </w:r>
      <w:r w:rsidR="00D939B5" w:rsidRPr="006D3C51">
        <w:rPr>
          <w:rFonts w:ascii="Times New Roman" w:hAnsi="Times New Roman" w:cs="Times New Roman"/>
          <w:sz w:val="24"/>
          <w:szCs w:val="24"/>
        </w:rPr>
        <w:t>diagnóstico</w:t>
      </w:r>
      <w:r w:rsidR="00722F11" w:rsidRPr="006D3C51">
        <w:rPr>
          <w:rFonts w:ascii="Times New Roman" w:hAnsi="Times New Roman" w:cs="Times New Roman"/>
          <w:sz w:val="24"/>
          <w:szCs w:val="24"/>
        </w:rPr>
        <w:t xml:space="preserve"> por varios expertos</w:t>
      </w:r>
      <w:r w:rsidR="00D939B5" w:rsidRPr="006D3C51">
        <w:rPr>
          <w:rFonts w:ascii="Times New Roman" w:hAnsi="Times New Roman" w:cs="Times New Roman"/>
          <w:sz w:val="24"/>
          <w:szCs w:val="24"/>
        </w:rPr>
        <w:t xml:space="preserve"> u opinión psiquiátrica, psicoterapia durante un período específico, </w:t>
      </w:r>
      <w:r w:rsidR="00E26091" w:rsidRPr="006D3C51">
        <w:rPr>
          <w:rFonts w:ascii="Times New Roman" w:hAnsi="Times New Roman" w:cs="Times New Roman"/>
          <w:sz w:val="24"/>
          <w:szCs w:val="24"/>
        </w:rPr>
        <w:t xml:space="preserve">la </w:t>
      </w:r>
      <w:r w:rsidR="00D939B5" w:rsidRPr="006D3C51">
        <w:rPr>
          <w:rFonts w:ascii="Times New Roman" w:hAnsi="Times New Roman" w:cs="Times New Roman"/>
          <w:sz w:val="24"/>
          <w:szCs w:val="24"/>
        </w:rPr>
        <w:t>adaptación social de la persona en cuestión o la expiración de un período de observación o un período de espera definido.</w:t>
      </w:r>
      <w:r w:rsidR="00722F11" w:rsidRPr="006D3C51">
        <w:rPr>
          <w:rFonts w:ascii="Times New Roman" w:hAnsi="Times New Roman" w:cs="Times New Roman"/>
          <w:sz w:val="24"/>
          <w:szCs w:val="24"/>
        </w:rPr>
        <w:t xml:space="preserve"> </w:t>
      </w:r>
      <w:r w:rsidR="00D939B5" w:rsidRPr="006D3C51">
        <w:rPr>
          <w:rFonts w:ascii="Times New Roman" w:hAnsi="Times New Roman" w:cs="Times New Roman"/>
          <w:sz w:val="24"/>
          <w:szCs w:val="24"/>
        </w:rPr>
        <w:t>En algunos Estados</w:t>
      </w:r>
      <w:r w:rsidR="00CB183F" w:rsidRPr="006D3C51">
        <w:rPr>
          <w:rFonts w:ascii="Times New Roman" w:hAnsi="Times New Roman" w:cs="Times New Roman"/>
          <w:sz w:val="24"/>
          <w:szCs w:val="24"/>
        </w:rPr>
        <w:t xml:space="preserve"> </w:t>
      </w:r>
      <w:r w:rsidR="00761D46" w:rsidRPr="006D3C51">
        <w:rPr>
          <w:rFonts w:ascii="Times New Roman" w:hAnsi="Times New Roman" w:cs="Times New Roman"/>
          <w:sz w:val="24"/>
          <w:szCs w:val="24"/>
        </w:rPr>
        <w:t>miembros</w:t>
      </w:r>
      <w:r w:rsidR="00D939B5" w:rsidRPr="006D3C51">
        <w:rPr>
          <w:rFonts w:ascii="Times New Roman" w:hAnsi="Times New Roman" w:cs="Times New Roman"/>
          <w:sz w:val="24"/>
          <w:szCs w:val="24"/>
        </w:rPr>
        <w:t xml:space="preserve">, el tratamiento de reasignación de género </w:t>
      </w:r>
      <w:r w:rsidR="00E26091" w:rsidRPr="006D3C51">
        <w:rPr>
          <w:rFonts w:ascii="Times New Roman" w:hAnsi="Times New Roman" w:cs="Times New Roman"/>
          <w:sz w:val="24"/>
          <w:szCs w:val="24"/>
        </w:rPr>
        <w:t>era</w:t>
      </w:r>
      <w:r w:rsidR="00D939B5" w:rsidRPr="006D3C51">
        <w:rPr>
          <w:rFonts w:ascii="Times New Roman" w:hAnsi="Times New Roman" w:cs="Times New Roman"/>
          <w:sz w:val="24"/>
          <w:szCs w:val="24"/>
        </w:rPr>
        <w:t xml:space="preserve"> inexistente o inaccesible (</w:t>
      </w:r>
      <w:r w:rsidR="00722F11" w:rsidRPr="006D3C51">
        <w:rPr>
          <w:rFonts w:ascii="Times New Roman" w:hAnsi="Times New Roman" w:cs="Times New Roman"/>
          <w:sz w:val="24"/>
          <w:szCs w:val="24"/>
        </w:rPr>
        <w:t xml:space="preserve">como, </w:t>
      </w:r>
      <w:r w:rsidR="00D939B5" w:rsidRPr="006D3C51">
        <w:rPr>
          <w:rFonts w:ascii="Times New Roman" w:hAnsi="Times New Roman" w:cs="Times New Roman"/>
          <w:sz w:val="24"/>
          <w:szCs w:val="24"/>
        </w:rPr>
        <w:t xml:space="preserve">por ejemplo, </w:t>
      </w:r>
      <w:r w:rsidR="00722F11" w:rsidRPr="006D3C51">
        <w:rPr>
          <w:rFonts w:ascii="Times New Roman" w:hAnsi="Times New Roman" w:cs="Times New Roman"/>
          <w:sz w:val="24"/>
          <w:szCs w:val="24"/>
        </w:rPr>
        <w:t xml:space="preserve">en </w:t>
      </w:r>
      <w:r w:rsidR="00D939B5" w:rsidRPr="006D3C51">
        <w:rPr>
          <w:rFonts w:ascii="Times New Roman" w:hAnsi="Times New Roman" w:cs="Times New Roman"/>
          <w:sz w:val="24"/>
          <w:szCs w:val="24"/>
        </w:rPr>
        <w:t>Albania, Andorra y Armenia)</w:t>
      </w:r>
      <w:r w:rsidR="00722F11" w:rsidRPr="006D3C51">
        <w:rPr>
          <w:rFonts w:ascii="Times New Roman" w:hAnsi="Times New Roman" w:cs="Times New Roman"/>
          <w:sz w:val="24"/>
          <w:szCs w:val="24"/>
        </w:rPr>
        <w:t xml:space="preserve"> (</w:t>
      </w:r>
      <w:r w:rsidR="00FB4A03" w:rsidRPr="006D3C51">
        <w:rPr>
          <w:rFonts w:ascii="Times New Roman" w:hAnsi="Times New Roman" w:cs="Times New Roman"/>
          <w:bCs/>
          <w:sz w:val="24"/>
          <w:szCs w:val="24"/>
        </w:rPr>
        <w:t xml:space="preserve">§§ </w:t>
      </w:r>
      <w:r w:rsidR="00722F11" w:rsidRPr="006D3C51">
        <w:rPr>
          <w:rFonts w:ascii="Times New Roman" w:hAnsi="Times New Roman" w:cs="Times New Roman"/>
          <w:sz w:val="24"/>
          <w:szCs w:val="24"/>
        </w:rPr>
        <w:t>39-40)</w:t>
      </w:r>
      <w:r w:rsidR="00D939B5" w:rsidRPr="006D3C51">
        <w:rPr>
          <w:rFonts w:ascii="Times New Roman" w:hAnsi="Times New Roman" w:cs="Times New Roman"/>
          <w:sz w:val="24"/>
          <w:szCs w:val="24"/>
        </w:rPr>
        <w:t>.</w:t>
      </w:r>
      <w:r w:rsidR="00761D46" w:rsidRPr="006D3C51">
        <w:rPr>
          <w:rFonts w:ascii="Times New Roman" w:hAnsi="Times New Roman" w:cs="Times New Roman"/>
          <w:sz w:val="24"/>
          <w:szCs w:val="24"/>
        </w:rPr>
        <w:t xml:space="preserve"> La autorización para acceder a las operaciones quirúrgicas de reasignación de sexo reca</w:t>
      </w:r>
      <w:r w:rsidR="00E26091" w:rsidRPr="006D3C51">
        <w:rPr>
          <w:rFonts w:ascii="Times New Roman" w:hAnsi="Times New Roman" w:cs="Times New Roman"/>
          <w:sz w:val="24"/>
          <w:szCs w:val="24"/>
        </w:rPr>
        <w:t>ía</w:t>
      </w:r>
      <w:r w:rsidR="00761D46" w:rsidRPr="006D3C51">
        <w:rPr>
          <w:rFonts w:ascii="Times New Roman" w:hAnsi="Times New Roman" w:cs="Times New Roman"/>
          <w:sz w:val="24"/>
          <w:szCs w:val="24"/>
        </w:rPr>
        <w:t xml:space="preserve"> casi siempre en los médicos y, en otros casos, en las autoridades jurisdiccionales. </w:t>
      </w:r>
    </w:p>
    <w:p w14:paraId="218F415C" w14:textId="3C6D56BA" w:rsidR="00761D46" w:rsidRPr="006D3C51" w:rsidRDefault="00761D46"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El Tribunal Europeo comprobó que, paulatinamente, estaba creciendo el número de Estados miembros en los que las </w:t>
      </w:r>
      <w:proofErr w:type="gramStart"/>
      <w:r w:rsidRPr="006D3C51">
        <w:rPr>
          <w:rFonts w:ascii="Times New Roman" w:hAnsi="Times New Roman" w:cs="Times New Roman"/>
          <w:sz w:val="24"/>
          <w:szCs w:val="24"/>
        </w:rPr>
        <w:t>personas transgénero</w:t>
      </w:r>
      <w:proofErr w:type="gramEnd"/>
      <w:r w:rsidRPr="006D3C51">
        <w:rPr>
          <w:rFonts w:ascii="Times New Roman" w:hAnsi="Times New Roman" w:cs="Times New Roman"/>
          <w:sz w:val="24"/>
          <w:szCs w:val="24"/>
        </w:rPr>
        <w:t xml:space="preserve"> </w:t>
      </w:r>
      <w:r w:rsidR="00E26091" w:rsidRPr="006D3C51">
        <w:rPr>
          <w:rFonts w:ascii="Times New Roman" w:hAnsi="Times New Roman" w:cs="Times New Roman"/>
          <w:sz w:val="24"/>
          <w:szCs w:val="24"/>
        </w:rPr>
        <w:t xml:space="preserve">ya </w:t>
      </w:r>
      <w:r w:rsidRPr="006D3C51">
        <w:rPr>
          <w:rFonts w:ascii="Times New Roman" w:hAnsi="Times New Roman" w:cs="Times New Roman"/>
          <w:sz w:val="24"/>
          <w:szCs w:val="24"/>
        </w:rPr>
        <w:t>no est</w:t>
      </w:r>
      <w:r w:rsidR="00E26091" w:rsidRPr="006D3C51">
        <w:rPr>
          <w:rFonts w:ascii="Times New Roman" w:hAnsi="Times New Roman" w:cs="Times New Roman"/>
          <w:sz w:val="24"/>
          <w:szCs w:val="24"/>
        </w:rPr>
        <w:t>aban</w:t>
      </w:r>
      <w:r w:rsidRPr="006D3C51">
        <w:rPr>
          <w:rFonts w:ascii="Times New Roman" w:hAnsi="Times New Roman" w:cs="Times New Roman"/>
          <w:sz w:val="24"/>
          <w:szCs w:val="24"/>
        </w:rPr>
        <w:t xml:space="preserve"> obligadas a someterse a esterilización</w:t>
      </w:r>
      <w:r w:rsidR="00464B45">
        <w:rPr>
          <w:rFonts w:ascii="Times New Roman" w:hAnsi="Times New Roman" w:cs="Times New Roman"/>
          <w:sz w:val="24"/>
          <w:szCs w:val="24"/>
        </w:rPr>
        <w:t xml:space="preserve">, </w:t>
      </w:r>
      <w:r w:rsidR="00464B45" w:rsidRPr="006D3C51">
        <w:rPr>
          <w:rFonts w:ascii="Times New Roman" w:hAnsi="Times New Roman" w:cs="Times New Roman"/>
          <w:sz w:val="24"/>
          <w:szCs w:val="24"/>
        </w:rPr>
        <w:t xml:space="preserve">cirugía </w:t>
      </w:r>
      <w:r w:rsidR="00464B45">
        <w:rPr>
          <w:rFonts w:ascii="Times New Roman" w:hAnsi="Times New Roman" w:cs="Times New Roman"/>
          <w:sz w:val="24"/>
          <w:szCs w:val="24"/>
        </w:rPr>
        <w:t xml:space="preserve">o </w:t>
      </w:r>
      <w:r w:rsidR="00464B45" w:rsidRPr="006D3C51">
        <w:rPr>
          <w:rFonts w:ascii="Times New Roman" w:hAnsi="Times New Roman" w:cs="Times New Roman"/>
          <w:sz w:val="24"/>
          <w:szCs w:val="24"/>
        </w:rPr>
        <w:t>terapia hormonal de reasignación de</w:t>
      </w:r>
      <w:r w:rsidR="00464B45">
        <w:rPr>
          <w:rFonts w:ascii="Times New Roman" w:hAnsi="Times New Roman" w:cs="Times New Roman"/>
          <w:sz w:val="24"/>
          <w:szCs w:val="24"/>
        </w:rPr>
        <w:t>l sex</w:t>
      </w:r>
      <w:r w:rsidR="002C2F5D">
        <w:rPr>
          <w:rFonts w:ascii="Times New Roman" w:hAnsi="Times New Roman" w:cs="Times New Roman"/>
          <w:sz w:val="24"/>
          <w:szCs w:val="24"/>
        </w:rPr>
        <w:t xml:space="preserve">o </w:t>
      </w:r>
      <w:r w:rsidRPr="006D3C51">
        <w:rPr>
          <w:rFonts w:ascii="Times New Roman" w:hAnsi="Times New Roman" w:cs="Times New Roman"/>
          <w:sz w:val="24"/>
          <w:szCs w:val="24"/>
        </w:rPr>
        <w:t>para obtener el reconocimiento legal del género que afirman, aunque s</w:t>
      </w:r>
      <w:r w:rsidR="002C2F5D">
        <w:rPr>
          <w:rFonts w:ascii="Times New Roman" w:hAnsi="Times New Roman" w:cs="Times New Roman"/>
          <w:sz w:val="24"/>
          <w:szCs w:val="24"/>
        </w:rPr>
        <w:t>iguieran (y siguen al día de hoy)</w:t>
      </w:r>
      <w:r w:rsidRPr="006D3C51">
        <w:rPr>
          <w:rFonts w:ascii="Times New Roman" w:hAnsi="Times New Roman" w:cs="Times New Roman"/>
          <w:sz w:val="24"/>
          <w:szCs w:val="24"/>
        </w:rPr>
        <w:t xml:space="preserve"> siendo la mayoría los Estados que sí requ</w:t>
      </w:r>
      <w:r w:rsidR="002C2F5D">
        <w:rPr>
          <w:rFonts w:ascii="Times New Roman" w:hAnsi="Times New Roman" w:cs="Times New Roman"/>
          <w:sz w:val="24"/>
          <w:szCs w:val="24"/>
        </w:rPr>
        <w:t>erían</w:t>
      </w:r>
      <w:r w:rsidRPr="006D3C51">
        <w:rPr>
          <w:rFonts w:ascii="Times New Roman" w:hAnsi="Times New Roman" w:cs="Times New Roman"/>
          <w:sz w:val="24"/>
          <w:szCs w:val="24"/>
        </w:rPr>
        <w:t xml:space="preserve"> una de esas condiciones</w:t>
      </w:r>
      <w:r w:rsidR="00872A21" w:rsidRPr="006D3C51">
        <w:rPr>
          <w:rFonts w:ascii="Times New Roman" w:hAnsi="Times New Roman" w:cs="Times New Roman"/>
          <w:sz w:val="24"/>
          <w:szCs w:val="24"/>
        </w:rPr>
        <w:t xml:space="preserve"> (</w:t>
      </w:r>
      <w:r w:rsidR="00FB4A03" w:rsidRPr="006D3C51">
        <w:rPr>
          <w:rFonts w:ascii="Times New Roman" w:hAnsi="Times New Roman" w:cs="Times New Roman"/>
          <w:bCs/>
          <w:sz w:val="24"/>
          <w:szCs w:val="24"/>
        </w:rPr>
        <w:t xml:space="preserve">§§ </w:t>
      </w:r>
      <w:r w:rsidR="00872A21" w:rsidRPr="006D3C51">
        <w:rPr>
          <w:rFonts w:ascii="Times New Roman" w:hAnsi="Times New Roman" w:cs="Times New Roman"/>
          <w:sz w:val="24"/>
          <w:szCs w:val="24"/>
        </w:rPr>
        <w:t>42-43).</w:t>
      </w:r>
    </w:p>
    <w:p w14:paraId="0060B890" w14:textId="7B77BE91" w:rsidR="00382821" w:rsidRPr="006D3C51" w:rsidRDefault="00382821"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El TEDH, </w:t>
      </w:r>
      <w:r w:rsidR="00607FCC" w:rsidRPr="006D3C51">
        <w:rPr>
          <w:rFonts w:ascii="Times New Roman" w:hAnsi="Times New Roman" w:cs="Times New Roman"/>
          <w:sz w:val="24"/>
          <w:szCs w:val="24"/>
        </w:rPr>
        <w:t>al analizar los principios generales, recordó su anterior jurisprudencia sobre la materia y cerró el apartado afirmando que, respecto del equilibrio entre intereses contrapuestos, asumen especial importancia las cuestiones relativas a uno de los aspectos más íntimos de la vida privada, esto es, la identidad (</w:t>
      </w:r>
      <w:r w:rsidR="00607FCC" w:rsidRPr="00B51DE5">
        <w:rPr>
          <w:rFonts w:ascii="Times New Roman" w:hAnsi="Times New Roman" w:cs="Times New Roman"/>
          <w:i/>
          <w:sz w:val="24"/>
          <w:szCs w:val="24"/>
        </w:rPr>
        <w:t>definición</w:t>
      </w:r>
      <w:r w:rsidR="00607FCC" w:rsidRPr="006D3C51">
        <w:rPr>
          <w:rFonts w:ascii="Times New Roman" w:hAnsi="Times New Roman" w:cs="Times New Roman"/>
          <w:sz w:val="24"/>
          <w:szCs w:val="24"/>
        </w:rPr>
        <w:t>, la denomina el TEDH) sexual de una persona. Asimismo, evidenció una vez más la continua mejora de las medidas adoptadas por los Estados en virtud del artículo 8 CEDH para proteger a las personas trans y reconocer su difícil situación (</w:t>
      </w:r>
      <w:r w:rsidR="00FB4A03" w:rsidRPr="006D3C51">
        <w:rPr>
          <w:rFonts w:ascii="Times New Roman" w:hAnsi="Times New Roman" w:cs="Times New Roman"/>
          <w:bCs/>
          <w:sz w:val="24"/>
          <w:szCs w:val="24"/>
        </w:rPr>
        <w:t xml:space="preserve">§ </w:t>
      </w:r>
      <w:r w:rsidR="00607FCC" w:rsidRPr="006D3C51">
        <w:rPr>
          <w:rFonts w:ascii="Times New Roman" w:hAnsi="Times New Roman" w:cs="Times New Roman"/>
          <w:sz w:val="24"/>
          <w:szCs w:val="24"/>
        </w:rPr>
        <w:t xml:space="preserve">60). </w:t>
      </w:r>
    </w:p>
    <w:p w14:paraId="04319D40" w14:textId="2F173294" w:rsidR="008A1BEB" w:rsidRPr="006D3C51" w:rsidRDefault="00475991"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Al adentrarse, el Tribunal, en la aplicación de los principios generales al presente caso, quiso apuntar a un elemento fundamental del asunto concreto que tenía que ver con la novedad del</w:t>
      </w:r>
      <w:r w:rsidR="008A1BEB" w:rsidRPr="006D3C51">
        <w:rPr>
          <w:rFonts w:ascii="Times New Roman" w:hAnsi="Times New Roman" w:cs="Times New Roman"/>
          <w:sz w:val="24"/>
          <w:szCs w:val="24"/>
        </w:rPr>
        <w:t xml:space="preserve"> objeto de su indagación. En efecto, hasta ese momento, el TEDH había resuelto casos que tenían que ver con la condición de personas transexuales que ya se habían sometido a operaciones quirúrgicas de cambio de sexo y que pretendían que las autoridades estatales reconocieran dicha modificación </w:t>
      </w:r>
      <w:r w:rsidR="00E26091" w:rsidRPr="006D3C51">
        <w:rPr>
          <w:rFonts w:ascii="Times New Roman" w:hAnsi="Times New Roman" w:cs="Times New Roman"/>
          <w:sz w:val="24"/>
          <w:szCs w:val="24"/>
        </w:rPr>
        <w:t xml:space="preserve">también </w:t>
      </w:r>
      <w:r w:rsidR="008A1BEB" w:rsidRPr="006D3C51">
        <w:rPr>
          <w:rFonts w:ascii="Times New Roman" w:hAnsi="Times New Roman" w:cs="Times New Roman"/>
          <w:sz w:val="24"/>
          <w:szCs w:val="24"/>
        </w:rPr>
        <w:t xml:space="preserve">en el plano jurídico. </w:t>
      </w:r>
    </w:p>
    <w:p w14:paraId="453E96AF" w14:textId="6905638B" w:rsidR="00475991" w:rsidRPr="006D3C51" w:rsidRDefault="008A1BEB"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Y.Y</w:t>
      </w:r>
      <w:r w:rsidR="003A5D2F">
        <w:rPr>
          <w:rFonts w:ascii="Times New Roman" w:hAnsi="Times New Roman" w:cs="Times New Roman"/>
          <w:sz w:val="24"/>
          <w:szCs w:val="24"/>
        </w:rPr>
        <w:t>.</w:t>
      </w:r>
      <w:r w:rsidRPr="006D3C51">
        <w:rPr>
          <w:rFonts w:ascii="Times New Roman" w:hAnsi="Times New Roman" w:cs="Times New Roman"/>
          <w:sz w:val="24"/>
          <w:szCs w:val="24"/>
        </w:rPr>
        <w:t>, de su lado, plante</w:t>
      </w:r>
      <w:r w:rsidR="003C2BED" w:rsidRPr="006D3C51">
        <w:rPr>
          <w:rFonts w:ascii="Times New Roman" w:hAnsi="Times New Roman" w:cs="Times New Roman"/>
          <w:sz w:val="24"/>
          <w:szCs w:val="24"/>
        </w:rPr>
        <w:t>ó</w:t>
      </w:r>
      <w:r w:rsidRPr="006D3C51">
        <w:rPr>
          <w:rFonts w:ascii="Times New Roman" w:hAnsi="Times New Roman" w:cs="Times New Roman"/>
          <w:sz w:val="24"/>
          <w:szCs w:val="24"/>
        </w:rPr>
        <w:t xml:space="preserve"> una demanda porque no había podido operarse, </w:t>
      </w:r>
      <w:r w:rsidR="00475991" w:rsidRPr="006D3C51">
        <w:rPr>
          <w:rFonts w:ascii="Times New Roman" w:hAnsi="Times New Roman" w:cs="Times New Roman"/>
          <w:sz w:val="24"/>
          <w:szCs w:val="24"/>
        </w:rPr>
        <w:t xml:space="preserve">habiéndosele negado la autorización judicial </w:t>
      </w:r>
      <w:r w:rsidR="003A5D2F">
        <w:rPr>
          <w:rFonts w:ascii="Times New Roman" w:hAnsi="Times New Roman" w:cs="Times New Roman"/>
          <w:sz w:val="24"/>
          <w:szCs w:val="24"/>
        </w:rPr>
        <w:t xml:space="preserve">necesaria </w:t>
      </w:r>
      <w:r w:rsidR="00475991" w:rsidRPr="006D3C51">
        <w:rPr>
          <w:rFonts w:ascii="Times New Roman" w:hAnsi="Times New Roman" w:cs="Times New Roman"/>
          <w:sz w:val="24"/>
          <w:szCs w:val="24"/>
        </w:rPr>
        <w:t xml:space="preserve">para </w:t>
      </w:r>
      <w:r w:rsidR="003A5D2F">
        <w:rPr>
          <w:rFonts w:ascii="Times New Roman" w:hAnsi="Times New Roman" w:cs="Times New Roman"/>
          <w:sz w:val="24"/>
          <w:szCs w:val="24"/>
        </w:rPr>
        <w:t>dicha</w:t>
      </w:r>
      <w:r w:rsidR="00475991" w:rsidRPr="006D3C51">
        <w:rPr>
          <w:rFonts w:ascii="Times New Roman" w:hAnsi="Times New Roman" w:cs="Times New Roman"/>
          <w:sz w:val="24"/>
          <w:szCs w:val="24"/>
        </w:rPr>
        <w:t xml:space="preserve"> </w:t>
      </w:r>
      <w:r w:rsidR="003A5D2F">
        <w:rPr>
          <w:rFonts w:ascii="Times New Roman" w:hAnsi="Times New Roman" w:cs="Times New Roman"/>
          <w:sz w:val="24"/>
          <w:szCs w:val="24"/>
        </w:rPr>
        <w:t>cirugía</w:t>
      </w:r>
      <w:r w:rsidR="00475991" w:rsidRPr="006D3C51">
        <w:rPr>
          <w:rFonts w:ascii="Times New Roman" w:hAnsi="Times New Roman" w:cs="Times New Roman"/>
          <w:sz w:val="24"/>
          <w:szCs w:val="24"/>
        </w:rPr>
        <w:t xml:space="preserve"> por</w:t>
      </w:r>
      <w:r w:rsidR="008B0D2E">
        <w:rPr>
          <w:rFonts w:ascii="Times New Roman" w:hAnsi="Times New Roman" w:cs="Times New Roman"/>
          <w:sz w:val="24"/>
          <w:szCs w:val="24"/>
        </w:rPr>
        <w:t>que</w:t>
      </w:r>
      <w:r w:rsidR="00475991" w:rsidRPr="006D3C51">
        <w:rPr>
          <w:rFonts w:ascii="Times New Roman" w:hAnsi="Times New Roman" w:cs="Times New Roman"/>
          <w:sz w:val="24"/>
          <w:szCs w:val="24"/>
        </w:rPr>
        <w:t xml:space="preserve"> no </w:t>
      </w:r>
      <w:r w:rsidR="008B0D2E">
        <w:rPr>
          <w:rFonts w:ascii="Times New Roman" w:hAnsi="Times New Roman" w:cs="Times New Roman"/>
          <w:sz w:val="24"/>
          <w:szCs w:val="24"/>
        </w:rPr>
        <w:t xml:space="preserve">se </w:t>
      </w:r>
      <w:r w:rsidR="00475991" w:rsidRPr="006D3C51">
        <w:rPr>
          <w:rFonts w:ascii="Times New Roman" w:hAnsi="Times New Roman" w:cs="Times New Roman"/>
          <w:sz w:val="24"/>
          <w:szCs w:val="24"/>
        </w:rPr>
        <w:t>encontra</w:t>
      </w:r>
      <w:r w:rsidR="008B0D2E">
        <w:rPr>
          <w:rFonts w:ascii="Times New Roman" w:hAnsi="Times New Roman" w:cs="Times New Roman"/>
          <w:sz w:val="24"/>
          <w:szCs w:val="24"/>
        </w:rPr>
        <w:t>ba</w:t>
      </w:r>
      <w:r w:rsidR="00475991" w:rsidRPr="006D3C51">
        <w:rPr>
          <w:rFonts w:ascii="Times New Roman" w:hAnsi="Times New Roman" w:cs="Times New Roman"/>
          <w:sz w:val="24"/>
          <w:szCs w:val="24"/>
        </w:rPr>
        <w:t xml:space="preserve"> definitivamente en la imposibilidad de procrear.</w:t>
      </w:r>
      <w:r w:rsidRPr="006D3C51">
        <w:rPr>
          <w:rFonts w:ascii="Times New Roman" w:hAnsi="Times New Roman" w:cs="Times New Roman"/>
          <w:sz w:val="24"/>
          <w:szCs w:val="24"/>
        </w:rPr>
        <w:t xml:space="preserve"> Su</w:t>
      </w:r>
      <w:r w:rsidR="00475991" w:rsidRPr="006D3C51">
        <w:rPr>
          <w:rFonts w:ascii="Times New Roman" w:hAnsi="Times New Roman" w:cs="Times New Roman"/>
          <w:sz w:val="24"/>
          <w:szCs w:val="24"/>
        </w:rPr>
        <w:t xml:space="preserve"> caso, por tanto, se refiere a un aspecto de los problemas que pueden encontrar las personas transexuales </w:t>
      </w:r>
      <w:r w:rsidRPr="006D3C51">
        <w:rPr>
          <w:rFonts w:ascii="Times New Roman" w:hAnsi="Times New Roman" w:cs="Times New Roman"/>
          <w:sz w:val="24"/>
          <w:szCs w:val="24"/>
        </w:rPr>
        <w:t>sobre el que el TEDH</w:t>
      </w:r>
      <w:r w:rsidR="00475991" w:rsidRPr="006D3C51">
        <w:rPr>
          <w:rFonts w:ascii="Times New Roman" w:hAnsi="Times New Roman" w:cs="Times New Roman"/>
          <w:sz w:val="24"/>
          <w:szCs w:val="24"/>
        </w:rPr>
        <w:t xml:space="preserve"> </w:t>
      </w:r>
      <w:r w:rsidRPr="006D3C51">
        <w:rPr>
          <w:rFonts w:ascii="Times New Roman" w:hAnsi="Times New Roman" w:cs="Times New Roman"/>
          <w:sz w:val="24"/>
          <w:szCs w:val="24"/>
        </w:rPr>
        <w:t xml:space="preserve">no </w:t>
      </w:r>
      <w:r w:rsidR="00475991" w:rsidRPr="006D3C51">
        <w:rPr>
          <w:rFonts w:ascii="Times New Roman" w:hAnsi="Times New Roman" w:cs="Times New Roman"/>
          <w:sz w:val="24"/>
          <w:szCs w:val="24"/>
        </w:rPr>
        <w:t>ha</w:t>
      </w:r>
      <w:r w:rsidRPr="006D3C51">
        <w:rPr>
          <w:rFonts w:ascii="Times New Roman" w:hAnsi="Times New Roman" w:cs="Times New Roman"/>
          <w:sz w:val="24"/>
          <w:szCs w:val="24"/>
        </w:rPr>
        <w:t>bía</w:t>
      </w:r>
      <w:r w:rsidR="00475991" w:rsidRPr="006D3C51">
        <w:rPr>
          <w:rFonts w:ascii="Times New Roman" w:hAnsi="Times New Roman" w:cs="Times New Roman"/>
          <w:sz w:val="24"/>
          <w:szCs w:val="24"/>
        </w:rPr>
        <w:t xml:space="preserve"> tenido </w:t>
      </w:r>
      <w:r w:rsidRPr="006D3C51">
        <w:rPr>
          <w:rFonts w:ascii="Times New Roman" w:hAnsi="Times New Roman" w:cs="Times New Roman"/>
          <w:sz w:val="24"/>
          <w:szCs w:val="24"/>
        </w:rPr>
        <w:t xml:space="preserve">aún </w:t>
      </w:r>
      <w:r w:rsidR="00475991" w:rsidRPr="006D3C51">
        <w:rPr>
          <w:rFonts w:ascii="Times New Roman" w:hAnsi="Times New Roman" w:cs="Times New Roman"/>
          <w:sz w:val="24"/>
          <w:szCs w:val="24"/>
        </w:rPr>
        <w:t xml:space="preserve">la oportunidad de </w:t>
      </w:r>
      <w:r w:rsidRPr="006D3C51">
        <w:rPr>
          <w:rFonts w:ascii="Times New Roman" w:hAnsi="Times New Roman" w:cs="Times New Roman"/>
          <w:sz w:val="24"/>
          <w:szCs w:val="24"/>
        </w:rPr>
        <w:t>pronunciarse</w:t>
      </w:r>
      <w:r w:rsidR="00475991" w:rsidRPr="006D3C51">
        <w:rPr>
          <w:rFonts w:ascii="Times New Roman" w:hAnsi="Times New Roman" w:cs="Times New Roman"/>
          <w:sz w:val="24"/>
          <w:szCs w:val="24"/>
        </w:rPr>
        <w:t>, a saber, la cuestión de las condiciones previas para el proceso de cambio de género que pueden imponerse</w:t>
      </w:r>
      <w:r w:rsidRPr="006D3C51">
        <w:rPr>
          <w:rFonts w:ascii="Times New Roman" w:hAnsi="Times New Roman" w:cs="Times New Roman"/>
          <w:sz w:val="24"/>
          <w:szCs w:val="24"/>
        </w:rPr>
        <w:t xml:space="preserve"> por los Estados miembros, y si esas </w:t>
      </w:r>
      <w:r w:rsidR="00475991" w:rsidRPr="006D3C51">
        <w:rPr>
          <w:rFonts w:ascii="Times New Roman" w:hAnsi="Times New Roman" w:cs="Times New Roman"/>
          <w:sz w:val="24"/>
          <w:szCs w:val="24"/>
        </w:rPr>
        <w:t xml:space="preserve">condiciones </w:t>
      </w:r>
      <w:r w:rsidRPr="006D3C51">
        <w:rPr>
          <w:rFonts w:ascii="Times New Roman" w:hAnsi="Times New Roman" w:cs="Times New Roman"/>
          <w:sz w:val="24"/>
          <w:szCs w:val="24"/>
        </w:rPr>
        <w:t>respetan</w:t>
      </w:r>
      <w:r w:rsidR="00475991" w:rsidRPr="006D3C51">
        <w:rPr>
          <w:rFonts w:ascii="Times New Roman" w:hAnsi="Times New Roman" w:cs="Times New Roman"/>
          <w:sz w:val="24"/>
          <w:szCs w:val="24"/>
        </w:rPr>
        <w:t xml:space="preserve"> el artículo 8 </w:t>
      </w:r>
      <w:r w:rsidRPr="006D3C51">
        <w:rPr>
          <w:rFonts w:ascii="Times New Roman" w:hAnsi="Times New Roman" w:cs="Times New Roman"/>
          <w:sz w:val="24"/>
          <w:szCs w:val="24"/>
        </w:rPr>
        <w:t>CEDH (</w:t>
      </w:r>
      <w:r w:rsidR="00FB4A03" w:rsidRPr="006D3C51">
        <w:rPr>
          <w:rFonts w:ascii="Times New Roman" w:hAnsi="Times New Roman" w:cs="Times New Roman"/>
          <w:bCs/>
          <w:sz w:val="24"/>
          <w:szCs w:val="24"/>
        </w:rPr>
        <w:t xml:space="preserve">§§ </w:t>
      </w:r>
      <w:r w:rsidRPr="006D3C51">
        <w:rPr>
          <w:rFonts w:ascii="Times New Roman" w:hAnsi="Times New Roman" w:cs="Times New Roman"/>
          <w:sz w:val="24"/>
          <w:szCs w:val="24"/>
        </w:rPr>
        <w:t>61-62)</w:t>
      </w:r>
      <w:r w:rsidR="00475991" w:rsidRPr="006D3C51">
        <w:rPr>
          <w:rFonts w:ascii="Times New Roman" w:hAnsi="Times New Roman" w:cs="Times New Roman"/>
          <w:sz w:val="24"/>
          <w:szCs w:val="24"/>
        </w:rPr>
        <w:t xml:space="preserve">. </w:t>
      </w:r>
      <w:r w:rsidR="00E26091" w:rsidRPr="006D3C51">
        <w:rPr>
          <w:rFonts w:ascii="Times New Roman" w:hAnsi="Times New Roman" w:cs="Times New Roman"/>
          <w:sz w:val="24"/>
          <w:szCs w:val="24"/>
        </w:rPr>
        <w:t xml:space="preserve"> </w:t>
      </w:r>
    </w:p>
    <w:p w14:paraId="20F4EB99" w14:textId="34D76592" w:rsidR="00CE561B" w:rsidRPr="006D3C51" w:rsidRDefault="00CE561B"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A este respecto, el TEDH observó que, si bien el artículo 8 CEDH no garantiza un derecho incondicional a la cirugía de cambio de género, ya fue ampliamente reconocido a nivel internacional que la transexualidad es una condición médica que justifica ese tratamiento, </w:t>
      </w:r>
      <w:r w:rsidRPr="006D3C51">
        <w:rPr>
          <w:rFonts w:ascii="Times New Roman" w:hAnsi="Times New Roman" w:cs="Times New Roman"/>
          <w:sz w:val="24"/>
          <w:szCs w:val="24"/>
        </w:rPr>
        <w:lastRenderedPageBreak/>
        <w:t>destinado a ayudar a las personas interesadas. Los servicios de salud de la mayoría de los Estados miembros reconoc</w:t>
      </w:r>
      <w:r w:rsidR="00673593" w:rsidRPr="006D3C51">
        <w:rPr>
          <w:rFonts w:ascii="Times New Roman" w:hAnsi="Times New Roman" w:cs="Times New Roman"/>
          <w:sz w:val="24"/>
          <w:szCs w:val="24"/>
        </w:rPr>
        <w:t>ían</w:t>
      </w:r>
      <w:r w:rsidRPr="006D3C51">
        <w:rPr>
          <w:rFonts w:ascii="Times New Roman" w:hAnsi="Times New Roman" w:cs="Times New Roman"/>
          <w:sz w:val="24"/>
          <w:szCs w:val="24"/>
        </w:rPr>
        <w:t xml:space="preserve"> esta posibilidad y garantiza</w:t>
      </w:r>
      <w:r w:rsidR="00673593" w:rsidRPr="006D3C51">
        <w:rPr>
          <w:rFonts w:ascii="Times New Roman" w:hAnsi="Times New Roman" w:cs="Times New Roman"/>
          <w:sz w:val="24"/>
          <w:szCs w:val="24"/>
        </w:rPr>
        <w:t>ban</w:t>
      </w:r>
      <w:r w:rsidRPr="006D3C51">
        <w:rPr>
          <w:rFonts w:ascii="Times New Roman" w:hAnsi="Times New Roman" w:cs="Times New Roman"/>
          <w:sz w:val="24"/>
          <w:szCs w:val="24"/>
        </w:rPr>
        <w:t xml:space="preserve"> o autoriza</w:t>
      </w:r>
      <w:r w:rsidR="00673593" w:rsidRPr="006D3C51">
        <w:rPr>
          <w:rFonts w:ascii="Times New Roman" w:hAnsi="Times New Roman" w:cs="Times New Roman"/>
          <w:sz w:val="24"/>
          <w:szCs w:val="24"/>
        </w:rPr>
        <w:t>ban</w:t>
      </w:r>
      <w:r w:rsidRPr="006D3C51">
        <w:rPr>
          <w:rFonts w:ascii="Times New Roman" w:hAnsi="Times New Roman" w:cs="Times New Roman"/>
          <w:sz w:val="24"/>
          <w:szCs w:val="24"/>
        </w:rPr>
        <w:t xml:space="preserve"> el tratamiento, incluida la cirugía irreversible de reasignación de género (</w:t>
      </w:r>
      <w:r w:rsidR="00FB4A03" w:rsidRPr="006D3C51">
        <w:rPr>
          <w:rFonts w:ascii="Times New Roman" w:hAnsi="Times New Roman" w:cs="Times New Roman"/>
          <w:bCs/>
          <w:sz w:val="24"/>
          <w:szCs w:val="24"/>
        </w:rPr>
        <w:t xml:space="preserve">§ </w:t>
      </w:r>
      <w:r w:rsidRPr="006D3C51">
        <w:rPr>
          <w:rFonts w:ascii="Times New Roman" w:hAnsi="Times New Roman" w:cs="Times New Roman"/>
          <w:sz w:val="24"/>
          <w:szCs w:val="24"/>
        </w:rPr>
        <w:t>65). Por tanto, que Turquía negara esa</w:t>
      </w:r>
      <w:r w:rsidR="00673593" w:rsidRPr="006D3C51">
        <w:rPr>
          <w:rFonts w:ascii="Times New Roman" w:hAnsi="Times New Roman" w:cs="Times New Roman"/>
          <w:sz w:val="24"/>
          <w:szCs w:val="24"/>
        </w:rPr>
        <w:t xml:space="preserve"> cirugía </w:t>
      </w:r>
      <w:r w:rsidRPr="006D3C51">
        <w:rPr>
          <w:rFonts w:ascii="Times New Roman" w:hAnsi="Times New Roman" w:cs="Times New Roman"/>
          <w:sz w:val="24"/>
          <w:szCs w:val="24"/>
        </w:rPr>
        <w:t>“</w:t>
      </w:r>
      <w:r w:rsidRPr="006D3C51">
        <w:rPr>
          <w:rFonts w:ascii="Times New Roman" w:hAnsi="Times New Roman" w:cs="Times New Roman"/>
          <w:i/>
          <w:sz w:val="24"/>
          <w:szCs w:val="24"/>
        </w:rPr>
        <w:t>sin duda repercutió en el derecho de la persona a la identidad sexual y al desarrollo personal, aspecto fundamental del derecho al respeto de la vida privada</w:t>
      </w:r>
      <w:r w:rsidRPr="006D3C51">
        <w:rPr>
          <w:rFonts w:ascii="Times New Roman" w:hAnsi="Times New Roman" w:cs="Times New Roman"/>
          <w:sz w:val="24"/>
          <w:szCs w:val="24"/>
        </w:rPr>
        <w:t>” (</w:t>
      </w:r>
      <w:r w:rsidR="00FB4A03" w:rsidRPr="006D3C51">
        <w:rPr>
          <w:rFonts w:ascii="Times New Roman" w:hAnsi="Times New Roman" w:cs="Times New Roman"/>
          <w:bCs/>
          <w:sz w:val="24"/>
          <w:szCs w:val="24"/>
        </w:rPr>
        <w:t xml:space="preserve">§ </w:t>
      </w:r>
      <w:r w:rsidRPr="006D3C51">
        <w:rPr>
          <w:rFonts w:ascii="Times New Roman" w:hAnsi="Times New Roman" w:cs="Times New Roman"/>
          <w:sz w:val="24"/>
          <w:szCs w:val="24"/>
        </w:rPr>
        <w:t xml:space="preserve">66), y constituyó una injerencia en el derecho del solicitante al respeto de su vida privada, </w:t>
      </w:r>
      <w:r w:rsidRPr="006D3C51">
        <w:rPr>
          <w:rFonts w:ascii="Times New Roman" w:hAnsi="Times New Roman" w:cs="Times New Roman"/>
          <w:i/>
          <w:sz w:val="24"/>
          <w:szCs w:val="24"/>
        </w:rPr>
        <w:t>ex</w:t>
      </w:r>
      <w:r w:rsidRPr="006D3C51">
        <w:rPr>
          <w:rFonts w:ascii="Times New Roman" w:hAnsi="Times New Roman" w:cs="Times New Roman"/>
          <w:sz w:val="24"/>
          <w:szCs w:val="24"/>
        </w:rPr>
        <w:t xml:space="preserve"> artículo 8 CEDH.</w:t>
      </w:r>
    </w:p>
    <w:p w14:paraId="2627AF43" w14:textId="7B180283" w:rsidR="0039517D" w:rsidRPr="006D3C51" w:rsidRDefault="0039517D"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No obstante, dicha injerencia </w:t>
      </w:r>
      <w:r w:rsidR="008B0D2E">
        <w:rPr>
          <w:rFonts w:ascii="Times New Roman" w:hAnsi="Times New Roman" w:cs="Times New Roman"/>
          <w:sz w:val="24"/>
          <w:szCs w:val="24"/>
        </w:rPr>
        <w:t xml:space="preserve">habría </w:t>
      </w:r>
      <w:r w:rsidRPr="006D3C51">
        <w:rPr>
          <w:rFonts w:ascii="Times New Roman" w:hAnsi="Times New Roman" w:cs="Times New Roman"/>
          <w:sz w:val="24"/>
          <w:szCs w:val="24"/>
        </w:rPr>
        <w:t>pod</w:t>
      </w:r>
      <w:r w:rsidR="008B0D2E">
        <w:rPr>
          <w:rFonts w:ascii="Times New Roman" w:hAnsi="Times New Roman" w:cs="Times New Roman"/>
          <w:sz w:val="24"/>
          <w:szCs w:val="24"/>
        </w:rPr>
        <w:t>ido</w:t>
      </w:r>
      <w:r w:rsidRPr="006D3C51">
        <w:rPr>
          <w:rFonts w:ascii="Times New Roman" w:hAnsi="Times New Roman" w:cs="Times New Roman"/>
          <w:sz w:val="24"/>
          <w:szCs w:val="24"/>
        </w:rPr>
        <w:t xml:space="preserve"> ser considerada una violación de dicho artículo solo si se </w:t>
      </w:r>
      <w:r w:rsidR="008B0D2E">
        <w:rPr>
          <w:rFonts w:ascii="Times New Roman" w:hAnsi="Times New Roman" w:cs="Times New Roman"/>
          <w:sz w:val="24"/>
          <w:szCs w:val="24"/>
        </w:rPr>
        <w:t xml:space="preserve">hubiera </w:t>
      </w:r>
      <w:r w:rsidRPr="006D3C51">
        <w:rPr>
          <w:rFonts w:ascii="Times New Roman" w:hAnsi="Times New Roman" w:cs="Times New Roman"/>
          <w:sz w:val="24"/>
          <w:szCs w:val="24"/>
        </w:rPr>
        <w:t>demostra</w:t>
      </w:r>
      <w:r w:rsidR="008B0D2E">
        <w:rPr>
          <w:rFonts w:ascii="Times New Roman" w:hAnsi="Times New Roman" w:cs="Times New Roman"/>
          <w:sz w:val="24"/>
          <w:szCs w:val="24"/>
        </w:rPr>
        <w:t>d</w:t>
      </w:r>
      <w:r w:rsidRPr="006D3C51">
        <w:rPr>
          <w:rFonts w:ascii="Times New Roman" w:hAnsi="Times New Roman" w:cs="Times New Roman"/>
          <w:sz w:val="24"/>
          <w:szCs w:val="24"/>
        </w:rPr>
        <w:t>a injustificada</w:t>
      </w:r>
      <w:r w:rsidR="006031DB" w:rsidRPr="006D3C51">
        <w:rPr>
          <w:rFonts w:ascii="Times New Roman" w:hAnsi="Times New Roman" w:cs="Times New Roman"/>
          <w:sz w:val="24"/>
          <w:szCs w:val="24"/>
        </w:rPr>
        <w:t xml:space="preserve">, esto es, si no </w:t>
      </w:r>
      <w:r w:rsidR="008B0D2E">
        <w:rPr>
          <w:rFonts w:ascii="Times New Roman" w:hAnsi="Times New Roman" w:cs="Times New Roman"/>
          <w:sz w:val="24"/>
          <w:szCs w:val="24"/>
        </w:rPr>
        <w:t>hubiera sido</w:t>
      </w:r>
      <w:r w:rsidR="006031DB" w:rsidRPr="006D3C51">
        <w:rPr>
          <w:rFonts w:ascii="Times New Roman" w:hAnsi="Times New Roman" w:cs="Times New Roman"/>
          <w:sz w:val="24"/>
          <w:szCs w:val="24"/>
        </w:rPr>
        <w:t xml:space="preserve"> necesaria para lograr un fin </w:t>
      </w:r>
      <w:r w:rsidR="00887D62" w:rsidRPr="006D3C51">
        <w:rPr>
          <w:rFonts w:ascii="Times New Roman" w:hAnsi="Times New Roman" w:cs="Times New Roman"/>
          <w:sz w:val="24"/>
          <w:szCs w:val="24"/>
        </w:rPr>
        <w:t xml:space="preserve">u objetivo </w:t>
      </w:r>
      <w:r w:rsidR="006031DB" w:rsidRPr="006D3C51">
        <w:rPr>
          <w:rFonts w:ascii="Times New Roman" w:hAnsi="Times New Roman" w:cs="Times New Roman"/>
          <w:sz w:val="24"/>
          <w:szCs w:val="24"/>
        </w:rPr>
        <w:t>legítimo</w:t>
      </w:r>
      <w:r w:rsidR="00887D62" w:rsidRPr="006D3C51">
        <w:rPr>
          <w:rFonts w:ascii="Times New Roman" w:hAnsi="Times New Roman" w:cs="Times New Roman"/>
          <w:sz w:val="24"/>
          <w:szCs w:val="24"/>
        </w:rPr>
        <w:t xml:space="preserve"> vinculado a los enumerados en el art. 8.2 CEDH</w:t>
      </w:r>
      <w:r w:rsidR="006031DB" w:rsidRPr="006D3C51">
        <w:rPr>
          <w:rFonts w:ascii="Times New Roman" w:hAnsi="Times New Roman" w:cs="Times New Roman"/>
          <w:sz w:val="24"/>
          <w:szCs w:val="24"/>
        </w:rPr>
        <w:t xml:space="preserve"> (</w:t>
      </w:r>
      <w:r w:rsidR="00FB4A03" w:rsidRPr="006D3C51">
        <w:rPr>
          <w:rFonts w:ascii="Times New Roman" w:hAnsi="Times New Roman" w:cs="Times New Roman"/>
          <w:bCs/>
          <w:sz w:val="24"/>
          <w:szCs w:val="24"/>
        </w:rPr>
        <w:t xml:space="preserve">§§ </w:t>
      </w:r>
      <w:r w:rsidR="006031DB" w:rsidRPr="006D3C51">
        <w:rPr>
          <w:rFonts w:ascii="Times New Roman" w:hAnsi="Times New Roman" w:cs="Times New Roman"/>
          <w:sz w:val="24"/>
          <w:szCs w:val="24"/>
        </w:rPr>
        <w:t>67</w:t>
      </w:r>
      <w:r w:rsidR="00887D62" w:rsidRPr="006D3C51">
        <w:rPr>
          <w:rFonts w:ascii="Times New Roman" w:hAnsi="Times New Roman" w:cs="Times New Roman"/>
          <w:sz w:val="24"/>
          <w:szCs w:val="24"/>
        </w:rPr>
        <w:t xml:space="preserve"> y 76</w:t>
      </w:r>
      <w:r w:rsidR="006031DB" w:rsidRPr="006D3C51">
        <w:rPr>
          <w:rFonts w:ascii="Times New Roman" w:hAnsi="Times New Roman" w:cs="Times New Roman"/>
          <w:sz w:val="24"/>
          <w:szCs w:val="24"/>
        </w:rPr>
        <w:t>)</w:t>
      </w:r>
      <w:r w:rsidR="00167342" w:rsidRPr="006D3C51">
        <w:rPr>
          <w:rStyle w:val="Refdenotaalpie"/>
          <w:rFonts w:ascii="Times New Roman" w:hAnsi="Times New Roman" w:cs="Times New Roman"/>
          <w:sz w:val="24"/>
          <w:szCs w:val="24"/>
        </w:rPr>
        <w:footnoteReference w:id="38"/>
      </w:r>
      <w:r w:rsidR="000E3FF1">
        <w:rPr>
          <w:rFonts w:ascii="Times New Roman" w:hAnsi="Times New Roman" w:cs="Times New Roman"/>
          <w:sz w:val="24"/>
          <w:szCs w:val="24"/>
        </w:rPr>
        <w:t>.</w:t>
      </w:r>
      <w:r w:rsidR="006031DB" w:rsidRPr="006D3C51">
        <w:rPr>
          <w:rFonts w:ascii="Times New Roman" w:hAnsi="Times New Roman" w:cs="Times New Roman"/>
          <w:sz w:val="24"/>
          <w:szCs w:val="24"/>
        </w:rPr>
        <w:t xml:space="preserve"> </w:t>
      </w:r>
    </w:p>
    <w:p w14:paraId="4F52C013" w14:textId="358F2251" w:rsidR="00C9492A" w:rsidRPr="006D3C51" w:rsidRDefault="00887D62"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Según el Gobierno demandado, los criterios previstos en la ley turca para la supervisión de las cirugías de reasignación de género (como por ejemplo comprobar la esterilidad permanente del sujeto en cuestión), perseguían la </w:t>
      </w:r>
      <w:r w:rsidR="00C9492A" w:rsidRPr="006D3C51">
        <w:rPr>
          <w:rFonts w:ascii="Times New Roman" w:hAnsi="Times New Roman" w:cs="Times New Roman"/>
          <w:sz w:val="24"/>
          <w:szCs w:val="24"/>
        </w:rPr>
        <w:t>protección del interés general y t</w:t>
      </w:r>
      <w:r w:rsidRPr="006D3C51">
        <w:rPr>
          <w:rFonts w:ascii="Times New Roman" w:hAnsi="Times New Roman" w:cs="Times New Roman"/>
          <w:sz w:val="24"/>
          <w:szCs w:val="24"/>
        </w:rPr>
        <w:t>enían</w:t>
      </w:r>
      <w:r w:rsidR="00C9492A" w:rsidRPr="006D3C51">
        <w:rPr>
          <w:rFonts w:ascii="Times New Roman" w:hAnsi="Times New Roman" w:cs="Times New Roman"/>
          <w:sz w:val="24"/>
          <w:szCs w:val="24"/>
        </w:rPr>
        <w:t xml:space="preserve"> como objetivo evitar la banalización de estas intervenciones y su desvío por determinados círculos, en particular el de la prostitución</w:t>
      </w:r>
      <w:r w:rsidRPr="006D3C51">
        <w:rPr>
          <w:rFonts w:ascii="Times New Roman" w:hAnsi="Times New Roman" w:cs="Times New Roman"/>
          <w:sz w:val="24"/>
          <w:szCs w:val="24"/>
        </w:rPr>
        <w:t xml:space="preserve">, así como </w:t>
      </w:r>
      <w:r w:rsidR="00C9492A" w:rsidRPr="006D3C51">
        <w:rPr>
          <w:rFonts w:ascii="Times New Roman" w:hAnsi="Times New Roman" w:cs="Times New Roman"/>
          <w:sz w:val="24"/>
          <w:szCs w:val="24"/>
        </w:rPr>
        <w:t>proteger los intereses de la persona en cuestión teniendo en cuenta los riesgos que una intervención de este tipo representaría para su integridad física y moral</w:t>
      </w:r>
      <w:r w:rsidR="0024553D" w:rsidRPr="006D3C51">
        <w:rPr>
          <w:rFonts w:ascii="Times New Roman" w:hAnsi="Times New Roman" w:cs="Times New Roman"/>
          <w:sz w:val="24"/>
          <w:szCs w:val="24"/>
        </w:rPr>
        <w:t xml:space="preserve"> (</w:t>
      </w:r>
      <w:r w:rsidR="00FB4A03" w:rsidRPr="006D3C51">
        <w:rPr>
          <w:rFonts w:ascii="Times New Roman" w:hAnsi="Times New Roman" w:cs="Times New Roman"/>
          <w:bCs/>
          <w:sz w:val="24"/>
          <w:szCs w:val="24"/>
        </w:rPr>
        <w:t xml:space="preserve">§ </w:t>
      </w:r>
      <w:r w:rsidR="0024553D" w:rsidRPr="006D3C51">
        <w:rPr>
          <w:rFonts w:ascii="Times New Roman" w:hAnsi="Times New Roman" w:cs="Times New Roman"/>
          <w:sz w:val="24"/>
          <w:szCs w:val="24"/>
        </w:rPr>
        <w:t>77)</w:t>
      </w:r>
      <w:r w:rsidR="00C9492A" w:rsidRPr="006D3C51">
        <w:rPr>
          <w:rFonts w:ascii="Times New Roman" w:hAnsi="Times New Roman" w:cs="Times New Roman"/>
          <w:sz w:val="24"/>
          <w:szCs w:val="24"/>
        </w:rPr>
        <w:t>.</w:t>
      </w:r>
    </w:p>
    <w:p w14:paraId="6018F7F2" w14:textId="2D43E08C" w:rsidR="00C9492A" w:rsidRPr="006D3C51" w:rsidRDefault="0024553D"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El TEDH rechazó los primeros de los criterios ahora mencionados, reconociendo solo a la “protección de la salud” de los solicitantes el carácter de </w:t>
      </w:r>
      <w:r w:rsidR="00C9492A" w:rsidRPr="006D3C51">
        <w:rPr>
          <w:rFonts w:ascii="Times New Roman" w:hAnsi="Times New Roman" w:cs="Times New Roman"/>
          <w:sz w:val="24"/>
          <w:szCs w:val="24"/>
        </w:rPr>
        <w:t>objetivo legítimo en el sentido del párrafo segundo del artículo 8</w:t>
      </w:r>
      <w:r w:rsidRPr="006D3C51">
        <w:rPr>
          <w:rFonts w:ascii="Times New Roman" w:hAnsi="Times New Roman" w:cs="Times New Roman"/>
          <w:sz w:val="24"/>
          <w:szCs w:val="24"/>
        </w:rPr>
        <w:t xml:space="preserve"> CEDH</w:t>
      </w:r>
      <w:r w:rsidR="00C9492A" w:rsidRPr="006D3C51">
        <w:rPr>
          <w:rFonts w:ascii="Times New Roman" w:hAnsi="Times New Roman" w:cs="Times New Roman"/>
          <w:sz w:val="24"/>
          <w:szCs w:val="24"/>
        </w:rPr>
        <w:t>.</w:t>
      </w:r>
      <w:r w:rsidR="003C551A" w:rsidRPr="006D3C51">
        <w:rPr>
          <w:rFonts w:ascii="Times New Roman" w:hAnsi="Times New Roman" w:cs="Times New Roman"/>
          <w:sz w:val="24"/>
          <w:szCs w:val="24"/>
        </w:rPr>
        <w:t xml:space="preserve"> </w:t>
      </w:r>
    </w:p>
    <w:p w14:paraId="4F49D34F" w14:textId="68E9CFEB" w:rsidR="00E71182" w:rsidRPr="006D3C51" w:rsidRDefault="00486F5D"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La mayoría de las afirmaciones siguientes del Tribunal de Estrasburgo merecerían </w:t>
      </w:r>
      <w:r w:rsidR="00E71182" w:rsidRPr="006D3C51">
        <w:rPr>
          <w:rFonts w:ascii="Times New Roman" w:hAnsi="Times New Roman" w:cs="Times New Roman"/>
          <w:sz w:val="24"/>
          <w:szCs w:val="24"/>
        </w:rPr>
        <w:t>ser aquí mencionadas, por su importancia para el tema tratado</w:t>
      </w:r>
      <w:r w:rsidR="00E2619B" w:rsidRPr="006D3C51">
        <w:rPr>
          <w:rFonts w:ascii="Times New Roman" w:hAnsi="Times New Roman" w:cs="Times New Roman"/>
          <w:sz w:val="24"/>
          <w:szCs w:val="24"/>
        </w:rPr>
        <w:t xml:space="preserve"> (por ejemplo, puede verse el § 102</w:t>
      </w:r>
      <w:r w:rsidR="005F7796" w:rsidRPr="006D3C51">
        <w:rPr>
          <w:rFonts w:ascii="Times New Roman" w:hAnsi="Times New Roman" w:cs="Times New Roman"/>
          <w:sz w:val="24"/>
          <w:szCs w:val="24"/>
        </w:rPr>
        <w:t xml:space="preserve"> y 115</w:t>
      </w:r>
      <w:r w:rsidR="00E2619B" w:rsidRPr="006D3C51">
        <w:rPr>
          <w:rFonts w:ascii="Times New Roman" w:hAnsi="Times New Roman" w:cs="Times New Roman"/>
          <w:sz w:val="24"/>
          <w:szCs w:val="24"/>
        </w:rPr>
        <w:t>)</w:t>
      </w:r>
      <w:r w:rsidR="00E71182" w:rsidRPr="006D3C51">
        <w:rPr>
          <w:rFonts w:ascii="Times New Roman" w:hAnsi="Times New Roman" w:cs="Times New Roman"/>
          <w:sz w:val="24"/>
          <w:szCs w:val="24"/>
        </w:rPr>
        <w:t>. No obstante, es suficiente aludir a que, además de reiterar muchas de las consideraciones ya expresadas con anterioridad respecto de la necesidad de proteger el colectivo trans y de la evolución en este sentido de la comunidad internacional, el TEDH hizo especial hincapié en la evolución de los requisitos necesarios para conseguir la modificación de la identidad sexual en los documentos oficiales. En particular, el T</w:t>
      </w:r>
      <w:r w:rsidR="00626FD2">
        <w:rPr>
          <w:rFonts w:ascii="Times New Roman" w:hAnsi="Times New Roman" w:cs="Times New Roman"/>
          <w:sz w:val="24"/>
          <w:szCs w:val="24"/>
        </w:rPr>
        <w:t>ribunal</w:t>
      </w:r>
      <w:r w:rsidR="00E71182" w:rsidRPr="006D3C51">
        <w:rPr>
          <w:rFonts w:ascii="Times New Roman" w:hAnsi="Times New Roman" w:cs="Times New Roman"/>
          <w:sz w:val="24"/>
          <w:szCs w:val="24"/>
        </w:rPr>
        <w:t xml:space="preserve"> mencionó las recientes resoluciones y recomendaciones en ámbito supranacional y las modificaciones legislativas nacionales que ya iban en la dirección de abolir las obligaciones de someterse a esterilización u otros procedimientos médicos como cirugía de reasignación de género o terapia hormonal para la obtención del reconocimiento legal de la identidad sexual de las personas transexuales. </w:t>
      </w:r>
    </w:p>
    <w:p w14:paraId="137A1B91" w14:textId="46FB1DA0" w:rsidR="00BB47E3" w:rsidRPr="006D3C51" w:rsidRDefault="00BB47E3"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El TEDH notó una incongruencia importante en la</w:t>
      </w:r>
      <w:r w:rsidR="005F7796" w:rsidRPr="006D3C51">
        <w:rPr>
          <w:rFonts w:ascii="Times New Roman" w:hAnsi="Times New Roman" w:cs="Times New Roman"/>
          <w:sz w:val="24"/>
          <w:szCs w:val="24"/>
        </w:rPr>
        <w:t xml:space="preserve"> aplicación de la</w:t>
      </w:r>
      <w:r w:rsidRPr="006D3C51">
        <w:rPr>
          <w:rFonts w:ascii="Times New Roman" w:hAnsi="Times New Roman" w:cs="Times New Roman"/>
          <w:sz w:val="24"/>
          <w:szCs w:val="24"/>
        </w:rPr>
        <w:t xml:space="preserve"> legislación turca</w:t>
      </w:r>
      <w:r w:rsidR="00721A7D" w:rsidRPr="006D3C51">
        <w:rPr>
          <w:rFonts w:ascii="Times New Roman" w:hAnsi="Times New Roman" w:cs="Times New Roman"/>
          <w:sz w:val="24"/>
          <w:szCs w:val="24"/>
        </w:rPr>
        <w:t xml:space="preserve"> </w:t>
      </w:r>
      <w:r w:rsidR="005F7796" w:rsidRPr="006D3C51">
        <w:rPr>
          <w:rFonts w:ascii="Times New Roman" w:hAnsi="Times New Roman" w:cs="Times New Roman"/>
          <w:sz w:val="24"/>
          <w:szCs w:val="24"/>
        </w:rPr>
        <w:t xml:space="preserve">por parte de los tribunales nacionales, que pretendieron que el Sr. Y.Y. demostrara su imposibilidad de procrear para autorizar la operación de reasignación del sexo, esto es, que fuera estéril </w:t>
      </w:r>
      <w:r w:rsidR="005F7796" w:rsidRPr="006D3C51">
        <w:rPr>
          <w:rFonts w:ascii="Times New Roman" w:hAnsi="Times New Roman" w:cs="Times New Roman"/>
          <w:i/>
          <w:sz w:val="24"/>
          <w:szCs w:val="24"/>
        </w:rPr>
        <w:t>antes</w:t>
      </w:r>
      <w:r w:rsidR="005F7796" w:rsidRPr="006D3C51">
        <w:rPr>
          <w:rFonts w:ascii="Times New Roman" w:hAnsi="Times New Roman" w:cs="Times New Roman"/>
          <w:sz w:val="24"/>
          <w:szCs w:val="24"/>
        </w:rPr>
        <w:t xml:space="preserve"> de someterse a esa operación. </w:t>
      </w:r>
    </w:p>
    <w:p w14:paraId="4C40CF30" w14:textId="20C57B75" w:rsidR="00C9492A" w:rsidRPr="006D3C51" w:rsidRDefault="005F7796"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El Gobierno turco afirmó que el demandante habría podido cumplir con ese requisito </w:t>
      </w:r>
      <w:r w:rsidR="00F84436" w:rsidRPr="006D3C51">
        <w:rPr>
          <w:rFonts w:ascii="Times New Roman" w:hAnsi="Times New Roman" w:cs="Times New Roman"/>
          <w:sz w:val="24"/>
          <w:szCs w:val="24"/>
        </w:rPr>
        <w:t>accediendo a otros</w:t>
      </w:r>
      <w:r w:rsidR="00C9492A" w:rsidRPr="006D3C51">
        <w:rPr>
          <w:rFonts w:ascii="Times New Roman" w:hAnsi="Times New Roman" w:cs="Times New Roman"/>
          <w:sz w:val="24"/>
          <w:szCs w:val="24"/>
        </w:rPr>
        <w:t xml:space="preserve"> procedimientos médicos para </w:t>
      </w:r>
      <w:r w:rsidR="00F84436" w:rsidRPr="006D3C51">
        <w:rPr>
          <w:rFonts w:ascii="Times New Roman" w:hAnsi="Times New Roman" w:cs="Times New Roman"/>
          <w:sz w:val="24"/>
          <w:szCs w:val="24"/>
        </w:rPr>
        <w:t xml:space="preserve">obtener </w:t>
      </w:r>
      <w:r w:rsidR="00C9492A" w:rsidRPr="006D3C51">
        <w:rPr>
          <w:rFonts w:ascii="Times New Roman" w:hAnsi="Times New Roman" w:cs="Times New Roman"/>
          <w:sz w:val="24"/>
          <w:szCs w:val="24"/>
        </w:rPr>
        <w:t>la esterilización</w:t>
      </w:r>
      <w:r w:rsidR="00F84436" w:rsidRPr="006D3C51">
        <w:rPr>
          <w:rFonts w:ascii="Times New Roman" w:hAnsi="Times New Roman" w:cs="Times New Roman"/>
          <w:sz w:val="24"/>
          <w:szCs w:val="24"/>
        </w:rPr>
        <w:t>. A esto el Tribunal contestó de una forma muy tajante</w:t>
      </w:r>
      <w:r w:rsidR="00DC2C0D" w:rsidRPr="006D3C51">
        <w:rPr>
          <w:rFonts w:ascii="Times New Roman" w:hAnsi="Times New Roman" w:cs="Times New Roman"/>
          <w:sz w:val="24"/>
          <w:szCs w:val="24"/>
        </w:rPr>
        <w:t xml:space="preserve"> y verdaderamente garantista de los derechos de las personas transexuales, demostrando una renovada sensibilidad respecto de esta </w:t>
      </w:r>
      <w:r w:rsidR="00DC2C0D" w:rsidRPr="006D3C51">
        <w:rPr>
          <w:rFonts w:ascii="Times New Roman" w:hAnsi="Times New Roman" w:cs="Times New Roman"/>
          <w:sz w:val="24"/>
          <w:szCs w:val="24"/>
        </w:rPr>
        <w:lastRenderedPageBreak/>
        <w:t>temática</w:t>
      </w:r>
      <w:r w:rsidR="00F84436" w:rsidRPr="006D3C51">
        <w:rPr>
          <w:rFonts w:ascii="Times New Roman" w:hAnsi="Times New Roman" w:cs="Times New Roman"/>
          <w:sz w:val="24"/>
          <w:szCs w:val="24"/>
        </w:rPr>
        <w:t xml:space="preserve">: </w:t>
      </w:r>
      <w:r w:rsidR="007D4117" w:rsidRPr="006D3C51">
        <w:rPr>
          <w:rFonts w:ascii="Times New Roman" w:hAnsi="Times New Roman" w:cs="Times New Roman"/>
          <w:sz w:val="24"/>
          <w:szCs w:val="24"/>
        </w:rPr>
        <w:t>“</w:t>
      </w:r>
      <w:r w:rsidR="00C9492A" w:rsidRPr="006D3C51">
        <w:rPr>
          <w:rFonts w:ascii="Times New Roman" w:hAnsi="Times New Roman" w:cs="Times New Roman"/>
          <w:i/>
          <w:sz w:val="24"/>
          <w:szCs w:val="24"/>
        </w:rPr>
        <w:t>el respeto debido a la integridad física del interesado evitaría que tenga que someterse a este tipo de trato</w:t>
      </w:r>
      <w:r w:rsidR="007D4117" w:rsidRPr="006D3C51">
        <w:rPr>
          <w:rFonts w:ascii="Times New Roman" w:hAnsi="Times New Roman" w:cs="Times New Roman"/>
          <w:sz w:val="24"/>
          <w:szCs w:val="24"/>
        </w:rPr>
        <w:t>”</w:t>
      </w:r>
      <w:r w:rsidR="00F84436" w:rsidRPr="006D3C51">
        <w:rPr>
          <w:rFonts w:ascii="Times New Roman" w:hAnsi="Times New Roman" w:cs="Times New Roman"/>
          <w:sz w:val="24"/>
          <w:szCs w:val="24"/>
        </w:rPr>
        <w:t xml:space="preserve"> (</w:t>
      </w:r>
      <w:r w:rsidR="004D59F0" w:rsidRPr="006D3C51">
        <w:rPr>
          <w:rFonts w:ascii="Times New Roman" w:hAnsi="Times New Roman" w:cs="Times New Roman"/>
          <w:sz w:val="24"/>
          <w:szCs w:val="24"/>
        </w:rPr>
        <w:t>§</w:t>
      </w:r>
      <w:r w:rsidR="004D59F0">
        <w:rPr>
          <w:rFonts w:ascii="Times New Roman" w:hAnsi="Times New Roman" w:cs="Times New Roman"/>
          <w:sz w:val="24"/>
          <w:szCs w:val="24"/>
        </w:rPr>
        <w:t xml:space="preserve"> </w:t>
      </w:r>
      <w:r w:rsidR="00F84436" w:rsidRPr="006D3C51">
        <w:rPr>
          <w:rFonts w:ascii="Times New Roman" w:hAnsi="Times New Roman" w:cs="Times New Roman"/>
          <w:sz w:val="24"/>
          <w:szCs w:val="24"/>
        </w:rPr>
        <w:t>119)</w:t>
      </w:r>
      <w:r w:rsidR="00C9492A" w:rsidRPr="006D3C51">
        <w:rPr>
          <w:rFonts w:ascii="Times New Roman" w:hAnsi="Times New Roman" w:cs="Times New Roman"/>
          <w:sz w:val="24"/>
          <w:szCs w:val="24"/>
        </w:rPr>
        <w:t>.</w:t>
      </w:r>
    </w:p>
    <w:p w14:paraId="70E2E769" w14:textId="4322E746" w:rsidR="00C9492A" w:rsidRPr="006D3C51" w:rsidRDefault="006C5CE5"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Finalmente, </w:t>
      </w:r>
      <w:r w:rsidR="00953F54" w:rsidRPr="006D3C51">
        <w:rPr>
          <w:rFonts w:ascii="Times New Roman" w:hAnsi="Times New Roman" w:cs="Times New Roman"/>
          <w:sz w:val="24"/>
          <w:szCs w:val="24"/>
        </w:rPr>
        <w:t xml:space="preserve">el TEDH cerró el caso declarando que </w:t>
      </w:r>
      <w:r w:rsidR="00E606B1" w:rsidRPr="006D3C51">
        <w:rPr>
          <w:rFonts w:ascii="Times New Roman" w:hAnsi="Times New Roman" w:cs="Times New Roman"/>
          <w:sz w:val="24"/>
          <w:szCs w:val="24"/>
        </w:rPr>
        <w:t>la injerencia en los derechos del demandante</w:t>
      </w:r>
      <w:r w:rsidR="00673593" w:rsidRPr="006D3C51">
        <w:rPr>
          <w:rFonts w:ascii="Times New Roman" w:hAnsi="Times New Roman" w:cs="Times New Roman"/>
          <w:sz w:val="24"/>
          <w:szCs w:val="24"/>
        </w:rPr>
        <w:t>,</w:t>
      </w:r>
      <w:r w:rsidR="00E606B1" w:rsidRPr="006D3C51">
        <w:rPr>
          <w:rFonts w:ascii="Times New Roman" w:hAnsi="Times New Roman" w:cs="Times New Roman"/>
          <w:sz w:val="24"/>
          <w:szCs w:val="24"/>
        </w:rPr>
        <w:t xml:space="preserve"> provocada por </w:t>
      </w:r>
      <w:r w:rsidR="00953F54" w:rsidRPr="006D3C51">
        <w:rPr>
          <w:rFonts w:ascii="Times New Roman" w:hAnsi="Times New Roman" w:cs="Times New Roman"/>
          <w:sz w:val="24"/>
          <w:szCs w:val="24"/>
        </w:rPr>
        <w:t>el requisito de la previa esterilización para obtener la autorización a someterse a una operación de reasignación del sexo</w:t>
      </w:r>
      <w:r w:rsidR="00673593" w:rsidRPr="006D3C51">
        <w:rPr>
          <w:rFonts w:ascii="Times New Roman" w:hAnsi="Times New Roman" w:cs="Times New Roman"/>
          <w:sz w:val="24"/>
          <w:szCs w:val="24"/>
        </w:rPr>
        <w:t>,</w:t>
      </w:r>
      <w:r w:rsidR="00953F54" w:rsidRPr="006D3C51">
        <w:rPr>
          <w:rFonts w:ascii="Times New Roman" w:hAnsi="Times New Roman" w:cs="Times New Roman"/>
          <w:sz w:val="24"/>
          <w:szCs w:val="24"/>
        </w:rPr>
        <w:t xml:space="preserve"> </w:t>
      </w:r>
      <w:r w:rsidR="00E606B1" w:rsidRPr="006D3C51">
        <w:rPr>
          <w:rFonts w:ascii="Times New Roman" w:hAnsi="Times New Roman" w:cs="Times New Roman"/>
          <w:sz w:val="24"/>
          <w:szCs w:val="24"/>
        </w:rPr>
        <w:t>no es en absoluto necesari</w:t>
      </w:r>
      <w:r w:rsidR="00673593" w:rsidRPr="006D3C51">
        <w:rPr>
          <w:rFonts w:ascii="Times New Roman" w:hAnsi="Times New Roman" w:cs="Times New Roman"/>
          <w:sz w:val="24"/>
          <w:szCs w:val="24"/>
        </w:rPr>
        <w:t>a</w:t>
      </w:r>
      <w:r w:rsidR="00E606B1" w:rsidRPr="006D3C51">
        <w:rPr>
          <w:rFonts w:ascii="Times New Roman" w:hAnsi="Times New Roman" w:cs="Times New Roman"/>
          <w:sz w:val="24"/>
          <w:szCs w:val="24"/>
        </w:rPr>
        <w:t xml:space="preserve"> en una sociedad democrática ni suficientemente fundamentad</w:t>
      </w:r>
      <w:r w:rsidR="00673593" w:rsidRPr="006D3C51">
        <w:rPr>
          <w:rFonts w:ascii="Times New Roman" w:hAnsi="Times New Roman" w:cs="Times New Roman"/>
          <w:sz w:val="24"/>
          <w:szCs w:val="24"/>
        </w:rPr>
        <w:t>a</w:t>
      </w:r>
      <w:r w:rsidR="00E606B1" w:rsidRPr="006D3C51">
        <w:rPr>
          <w:rFonts w:ascii="Times New Roman" w:hAnsi="Times New Roman" w:cs="Times New Roman"/>
          <w:sz w:val="24"/>
          <w:szCs w:val="24"/>
        </w:rPr>
        <w:t xml:space="preserve"> y que, por ello, </w:t>
      </w:r>
      <w:r w:rsidR="00C56C10" w:rsidRPr="006D3C51">
        <w:rPr>
          <w:rFonts w:ascii="Times New Roman" w:hAnsi="Times New Roman" w:cs="Times New Roman"/>
          <w:sz w:val="24"/>
          <w:szCs w:val="24"/>
        </w:rPr>
        <w:t>Turquía</w:t>
      </w:r>
      <w:r w:rsidR="00E606B1" w:rsidRPr="006D3C51">
        <w:rPr>
          <w:rFonts w:ascii="Times New Roman" w:hAnsi="Times New Roman" w:cs="Times New Roman"/>
          <w:sz w:val="24"/>
          <w:szCs w:val="24"/>
        </w:rPr>
        <w:t xml:space="preserve"> violó el derecho al respeto de la vida privada del Sr. Y.Y</w:t>
      </w:r>
      <w:r w:rsidR="00BA26AF">
        <w:rPr>
          <w:rFonts w:ascii="Times New Roman" w:hAnsi="Times New Roman" w:cs="Times New Roman"/>
          <w:sz w:val="24"/>
          <w:szCs w:val="24"/>
        </w:rPr>
        <w:t>.</w:t>
      </w:r>
      <w:r w:rsidR="00E606B1" w:rsidRPr="006D3C51">
        <w:rPr>
          <w:rFonts w:ascii="Times New Roman" w:hAnsi="Times New Roman" w:cs="Times New Roman"/>
          <w:sz w:val="24"/>
          <w:szCs w:val="24"/>
        </w:rPr>
        <w:t xml:space="preserve"> </w:t>
      </w:r>
      <w:r w:rsidR="00E606B1" w:rsidRPr="006D3C51">
        <w:rPr>
          <w:rFonts w:ascii="Times New Roman" w:hAnsi="Times New Roman" w:cs="Times New Roman"/>
          <w:i/>
          <w:sz w:val="24"/>
          <w:szCs w:val="24"/>
        </w:rPr>
        <w:t>ex</w:t>
      </w:r>
      <w:r w:rsidR="00E606B1" w:rsidRPr="006D3C51">
        <w:rPr>
          <w:rFonts w:ascii="Times New Roman" w:hAnsi="Times New Roman" w:cs="Times New Roman"/>
          <w:sz w:val="24"/>
          <w:szCs w:val="24"/>
        </w:rPr>
        <w:t xml:space="preserve"> artículo 8 CEDH</w:t>
      </w:r>
      <w:r w:rsidR="00673E2B" w:rsidRPr="006D3C51">
        <w:rPr>
          <w:rStyle w:val="Refdenotaalpie"/>
          <w:rFonts w:ascii="Times New Roman" w:hAnsi="Times New Roman" w:cs="Times New Roman"/>
          <w:sz w:val="24"/>
          <w:szCs w:val="24"/>
        </w:rPr>
        <w:footnoteReference w:id="39"/>
      </w:r>
      <w:r w:rsidR="004D59F0">
        <w:rPr>
          <w:rFonts w:ascii="Times New Roman" w:hAnsi="Times New Roman" w:cs="Times New Roman"/>
          <w:sz w:val="24"/>
          <w:szCs w:val="24"/>
        </w:rPr>
        <w:t>.</w:t>
      </w:r>
    </w:p>
    <w:p w14:paraId="5FA558B6" w14:textId="77777777" w:rsidR="00623C04" w:rsidRDefault="00623C04" w:rsidP="00781D53">
      <w:pPr>
        <w:spacing w:after="0" w:line="276" w:lineRule="auto"/>
        <w:jc w:val="both"/>
        <w:rPr>
          <w:rFonts w:ascii="Times New Roman" w:hAnsi="Times New Roman" w:cs="Times New Roman"/>
          <w:sz w:val="24"/>
          <w:szCs w:val="24"/>
        </w:rPr>
      </w:pPr>
    </w:p>
    <w:p w14:paraId="415C75D7" w14:textId="46D2C288" w:rsidR="00623C04" w:rsidRPr="00545A82" w:rsidRDefault="00866548" w:rsidP="00781D53">
      <w:pPr>
        <w:spacing w:after="0" w:line="276" w:lineRule="auto"/>
        <w:jc w:val="both"/>
        <w:rPr>
          <w:rFonts w:ascii="Times New Roman" w:hAnsi="Times New Roman" w:cs="Times New Roman"/>
          <w:b/>
          <w:sz w:val="24"/>
          <w:szCs w:val="24"/>
        </w:rPr>
      </w:pPr>
      <w:bookmarkStart w:id="11" w:name="_Hlk83723650"/>
      <w:r w:rsidRPr="00545A82">
        <w:rPr>
          <w:rFonts w:ascii="Times New Roman" w:hAnsi="Times New Roman" w:cs="Times New Roman"/>
          <w:b/>
          <w:sz w:val="24"/>
          <w:szCs w:val="24"/>
        </w:rPr>
        <w:t xml:space="preserve">3. Protección de la integridad física de las personas transexuales y restricción del margen de apreciación nacional en el caso </w:t>
      </w:r>
      <w:r w:rsidR="00DA0635" w:rsidRPr="00545A82">
        <w:rPr>
          <w:rFonts w:ascii="Times New Roman" w:hAnsi="Times New Roman" w:cs="Times New Roman"/>
          <w:b/>
          <w:i/>
          <w:sz w:val="24"/>
          <w:szCs w:val="24"/>
        </w:rPr>
        <w:t xml:space="preserve">A.P., </w:t>
      </w:r>
      <w:proofErr w:type="spellStart"/>
      <w:r w:rsidR="00DA0635" w:rsidRPr="00545A82">
        <w:rPr>
          <w:rFonts w:ascii="Times New Roman" w:hAnsi="Times New Roman" w:cs="Times New Roman"/>
          <w:b/>
          <w:i/>
          <w:sz w:val="24"/>
          <w:szCs w:val="24"/>
        </w:rPr>
        <w:t>Garçon</w:t>
      </w:r>
      <w:proofErr w:type="spellEnd"/>
      <w:r w:rsidR="00DA0635" w:rsidRPr="00545A82">
        <w:rPr>
          <w:rFonts w:ascii="Times New Roman" w:hAnsi="Times New Roman" w:cs="Times New Roman"/>
          <w:b/>
          <w:i/>
          <w:sz w:val="24"/>
          <w:szCs w:val="24"/>
        </w:rPr>
        <w:t xml:space="preserve"> y </w:t>
      </w:r>
      <w:proofErr w:type="spellStart"/>
      <w:r w:rsidR="00DA0635" w:rsidRPr="00545A82">
        <w:rPr>
          <w:rFonts w:ascii="Times New Roman" w:hAnsi="Times New Roman" w:cs="Times New Roman"/>
          <w:b/>
          <w:i/>
          <w:sz w:val="24"/>
          <w:szCs w:val="24"/>
        </w:rPr>
        <w:t>Nicot</w:t>
      </w:r>
      <w:proofErr w:type="spellEnd"/>
      <w:r w:rsidR="00DA0635" w:rsidRPr="00545A82">
        <w:rPr>
          <w:rFonts w:ascii="Times New Roman" w:hAnsi="Times New Roman" w:cs="Times New Roman"/>
          <w:b/>
          <w:i/>
          <w:sz w:val="24"/>
          <w:szCs w:val="24"/>
        </w:rPr>
        <w:t xml:space="preserve"> c. Francia</w:t>
      </w:r>
      <w:r w:rsidR="00DA0635" w:rsidRPr="00545A82">
        <w:rPr>
          <w:rFonts w:ascii="Times New Roman" w:hAnsi="Times New Roman" w:cs="Times New Roman"/>
          <w:b/>
          <w:sz w:val="24"/>
          <w:szCs w:val="24"/>
        </w:rPr>
        <w:t>, de 2017</w:t>
      </w:r>
      <w:r w:rsidR="00746F54">
        <w:rPr>
          <w:rFonts w:ascii="Times New Roman" w:hAnsi="Times New Roman" w:cs="Times New Roman"/>
          <w:b/>
          <w:sz w:val="24"/>
          <w:szCs w:val="24"/>
        </w:rPr>
        <w:t>.</w:t>
      </w:r>
    </w:p>
    <w:bookmarkEnd w:id="11"/>
    <w:p w14:paraId="34469CA6" w14:textId="77777777" w:rsidR="004F1281" w:rsidRDefault="004F1281" w:rsidP="00781D53">
      <w:pPr>
        <w:spacing w:after="0" w:line="276" w:lineRule="auto"/>
        <w:jc w:val="both"/>
        <w:rPr>
          <w:rFonts w:ascii="Times New Roman" w:hAnsi="Times New Roman" w:cs="Times New Roman"/>
          <w:sz w:val="24"/>
          <w:szCs w:val="24"/>
        </w:rPr>
      </w:pPr>
    </w:p>
    <w:p w14:paraId="6797C04E" w14:textId="66C9BAF5" w:rsidR="00F5040D" w:rsidRPr="006D3C51" w:rsidRDefault="00EF4E66"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La decisión relativa al </w:t>
      </w:r>
      <w:r w:rsidRPr="00781D53">
        <w:rPr>
          <w:rFonts w:ascii="Times New Roman" w:hAnsi="Times New Roman" w:cs="Times New Roman"/>
          <w:sz w:val="24"/>
          <w:szCs w:val="24"/>
        </w:rPr>
        <w:t xml:space="preserve">caso </w:t>
      </w:r>
      <w:bookmarkStart w:id="12" w:name="_Hlk83723567"/>
      <w:r w:rsidRPr="00781D53">
        <w:rPr>
          <w:rFonts w:ascii="Times New Roman" w:hAnsi="Times New Roman" w:cs="Times New Roman"/>
          <w:i/>
          <w:sz w:val="24"/>
          <w:szCs w:val="24"/>
        </w:rPr>
        <w:t xml:space="preserve">A.P., </w:t>
      </w:r>
      <w:proofErr w:type="spellStart"/>
      <w:r w:rsidRPr="00781D53">
        <w:rPr>
          <w:rFonts w:ascii="Times New Roman" w:hAnsi="Times New Roman" w:cs="Times New Roman"/>
          <w:i/>
          <w:sz w:val="24"/>
          <w:szCs w:val="24"/>
        </w:rPr>
        <w:t>Garçon</w:t>
      </w:r>
      <w:proofErr w:type="spellEnd"/>
      <w:r w:rsidRPr="00781D53">
        <w:rPr>
          <w:rFonts w:ascii="Times New Roman" w:hAnsi="Times New Roman" w:cs="Times New Roman"/>
          <w:i/>
          <w:sz w:val="24"/>
          <w:szCs w:val="24"/>
        </w:rPr>
        <w:t xml:space="preserve"> y </w:t>
      </w:r>
      <w:proofErr w:type="spellStart"/>
      <w:r w:rsidRPr="00781D53">
        <w:rPr>
          <w:rFonts w:ascii="Times New Roman" w:hAnsi="Times New Roman" w:cs="Times New Roman"/>
          <w:i/>
          <w:sz w:val="24"/>
          <w:szCs w:val="24"/>
        </w:rPr>
        <w:t>Nicot</w:t>
      </w:r>
      <w:proofErr w:type="spellEnd"/>
      <w:r w:rsidRPr="00781D53">
        <w:rPr>
          <w:rFonts w:ascii="Times New Roman" w:hAnsi="Times New Roman" w:cs="Times New Roman"/>
          <w:i/>
          <w:sz w:val="24"/>
          <w:szCs w:val="24"/>
        </w:rPr>
        <w:t xml:space="preserve"> c. Francia</w:t>
      </w:r>
      <w:r w:rsidRPr="00781D53">
        <w:rPr>
          <w:rFonts w:ascii="Times New Roman" w:hAnsi="Times New Roman" w:cs="Times New Roman"/>
          <w:sz w:val="24"/>
          <w:szCs w:val="24"/>
        </w:rPr>
        <w:t>, de</w:t>
      </w:r>
      <w:r w:rsidRPr="006D3C51">
        <w:rPr>
          <w:rFonts w:ascii="Times New Roman" w:hAnsi="Times New Roman" w:cs="Times New Roman"/>
          <w:sz w:val="24"/>
          <w:szCs w:val="24"/>
        </w:rPr>
        <w:t xml:space="preserve"> 6 de abril de 2017</w:t>
      </w:r>
      <w:bookmarkEnd w:id="12"/>
      <w:r w:rsidR="00C06F07" w:rsidRPr="006D3C51">
        <w:rPr>
          <w:rStyle w:val="Refdenotaalpie"/>
          <w:rFonts w:ascii="Times New Roman" w:hAnsi="Times New Roman" w:cs="Times New Roman"/>
          <w:sz w:val="24"/>
          <w:szCs w:val="24"/>
        </w:rPr>
        <w:footnoteReference w:id="40"/>
      </w:r>
      <w:r w:rsidR="004D59F0">
        <w:rPr>
          <w:rFonts w:ascii="Times New Roman" w:hAnsi="Times New Roman" w:cs="Times New Roman"/>
          <w:sz w:val="24"/>
          <w:szCs w:val="24"/>
        </w:rPr>
        <w:t>,</w:t>
      </w:r>
      <w:r w:rsidRPr="006D3C51">
        <w:rPr>
          <w:rFonts w:ascii="Times New Roman" w:hAnsi="Times New Roman" w:cs="Times New Roman"/>
          <w:sz w:val="24"/>
          <w:szCs w:val="24"/>
        </w:rPr>
        <w:t xml:space="preserve"> consolidó un avance fundamental en la protección de los derechos de </w:t>
      </w:r>
      <w:r w:rsidR="00340A6C" w:rsidRPr="006D3C51">
        <w:rPr>
          <w:rFonts w:ascii="Times New Roman" w:hAnsi="Times New Roman" w:cs="Times New Roman"/>
          <w:sz w:val="24"/>
          <w:szCs w:val="24"/>
        </w:rPr>
        <w:t>las</w:t>
      </w:r>
      <w:r w:rsidRPr="006D3C51">
        <w:rPr>
          <w:rFonts w:ascii="Times New Roman" w:hAnsi="Times New Roman" w:cs="Times New Roman"/>
          <w:sz w:val="24"/>
          <w:szCs w:val="24"/>
        </w:rPr>
        <w:t xml:space="preserve"> personas transexuales, en particular en un aspecto que ya había empezado a “entreverse” en sentencias anteriores</w:t>
      </w:r>
      <w:r w:rsidRPr="006D3C51">
        <w:rPr>
          <w:rStyle w:val="Refdenotaalpie"/>
          <w:rFonts w:ascii="Times New Roman" w:hAnsi="Times New Roman" w:cs="Times New Roman"/>
          <w:sz w:val="24"/>
          <w:szCs w:val="24"/>
        </w:rPr>
        <w:footnoteReference w:id="41"/>
      </w:r>
      <w:r w:rsidR="004D59F0">
        <w:rPr>
          <w:rFonts w:ascii="Times New Roman" w:hAnsi="Times New Roman" w:cs="Times New Roman"/>
          <w:sz w:val="24"/>
          <w:szCs w:val="24"/>
        </w:rPr>
        <w:t>,</w:t>
      </w:r>
      <w:r w:rsidRPr="006D3C51">
        <w:rPr>
          <w:rFonts w:ascii="Times New Roman" w:hAnsi="Times New Roman" w:cs="Times New Roman"/>
          <w:sz w:val="24"/>
          <w:szCs w:val="24"/>
        </w:rPr>
        <w:t xml:space="preserve"> esto es, la vinculación de la “cuestión transexual” con el derecho a la integridad física y moral. </w:t>
      </w:r>
    </w:p>
    <w:p w14:paraId="0D7C6B56" w14:textId="68CD52DF" w:rsidR="00761793" w:rsidRPr="006D3C51" w:rsidRDefault="00397D62"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Se trataba de resolver tres supuestos análogos de tres personas transexuales que presentaron un recurso ante el TEDH </w:t>
      </w:r>
      <w:r w:rsidR="00761793" w:rsidRPr="006D3C51">
        <w:rPr>
          <w:rFonts w:ascii="Times New Roman" w:hAnsi="Times New Roman" w:cs="Times New Roman"/>
          <w:sz w:val="24"/>
          <w:szCs w:val="24"/>
        </w:rPr>
        <w:t xml:space="preserve">porque consideraron que el Estado francés, al rechazar sus respectivas solicitudes de corrección de la indicación del sexo en las partidas de nacimiento por el hecho de que, para justificar tal solicitud, el solicitante debe demostrar la “realidad del síndrome transexual” del que está afectado, así como la irreversibilidad de la transformación de su apariencia, violaba su derecho </w:t>
      </w:r>
      <w:r w:rsidR="00761793" w:rsidRPr="006D3C51">
        <w:rPr>
          <w:rFonts w:ascii="Times New Roman" w:hAnsi="Times New Roman" w:cs="Times New Roman"/>
          <w:i/>
          <w:sz w:val="24"/>
          <w:szCs w:val="24"/>
        </w:rPr>
        <w:t>ex</w:t>
      </w:r>
      <w:r w:rsidR="00761793" w:rsidRPr="006D3C51">
        <w:rPr>
          <w:rFonts w:ascii="Times New Roman" w:hAnsi="Times New Roman" w:cs="Times New Roman"/>
          <w:sz w:val="24"/>
          <w:szCs w:val="24"/>
        </w:rPr>
        <w:t xml:space="preserve"> art. 8 CEDH. En efecto, la segunda condición ahora mencionada obligaría a las personas transexuales que, como ellas, desean obtener una modificación de la indicación de su sexo en el estado civil, a someterse previamente a una operación o tratamiento de esterilidad irreversible, circunstancia, en opinión de los recurrentes, no compatible con el derecho al respeto de la vida privada reconocido por el Convenio.</w:t>
      </w:r>
    </w:p>
    <w:p w14:paraId="0442D9E7" w14:textId="526FBD84" w:rsidR="003C721E" w:rsidRPr="006D3C51" w:rsidRDefault="003C721E"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También en esta ocasión el TEDH, antes de entrar en el fondo de la cuestión, especificó en dos apar</w:t>
      </w:r>
      <w:r w:rsidR="000E3043">
        <w:rPr>
          <w:rFonts w:ascii="Times New Roman" w:hAnsi="Times New Roman" w:cs="Times New Roman"/>
          <w:sz w:val="24"/>
          <w:szCs w:val="24"/>
        </w:rPr>
        <w:t>t</w:t>
      </w:r>
      <w:r w:rsidRPr="006D3C51">
        <w:rPr>
          <w:rFonts w:ascii="Times New Roman" w:hAnsi="Times New Roman" w:cs="Times New Roman"/>
          <w:sz w:val="24"/>
          <w:szCs w:val="24"/>
        </w:rPr>
        <w:t xml:space="preserve">ados </w:t>
      </w:r>
      <w:r w:rsidR="004F5F4D">
        <w:rPr>
          <w:rFonts w:ascii="Times New Roman" w:hAnsi="Times New Roman" w:cs="Times New Roman"/>
          <w:sz w:val="24"/>
          <w:szCs w:val="24"/>
        </w:rPr>
        <w:t>diferentes</w:t>
      </w:r>
      <w:r w:rsidRPr="006D3C51">
        <w:rPr>
          <w:rFonts w:ascii="Times New Roman" w:hAnsi="Times New Roman" w:cs="Times New Roman"/>
          <w:sz w:val="24"/>
          <w:szCs w:val="24"/>
        </w:rPr>
        <w:t xml:space="preserve"> los avances en tema de protección del colectivo trans en los Estados miembros del Consejo y las novedades relevantes, siempre en el mismo tema, en las fuentes internacionales (en particular en el ámbito del Consejo de Europa y de la ONU) (</w:t>
      </w:r>
      <w:r w:rsidR="004D59F0" w:rsidRPr="006D3C51">
        <w:rPr>
          <w:rFonts w:ascii="Times New Roman" w:hAnsi="Times New Roman" w:cs="Times New Roman"/>
          <w:sz w:val="24"/>
          <w:szCs w:val="24"/>
        </w:rPr>
        <w:t>§§</w:t>
      </w:r>
      <w:r w:rsidR="004D59F0">
        <w:rPr>
          <w:rFonts w:ascii="Times New Roman" w:hAnsi="Times New Roman" w:cs="Times New Roman"/>
          <w:sz w:val="24"/>
          <w:szCs w:val="24"/>
        </w:rPr>
        <w:t xml:space="preserve"> </w:t>
      </w:r>
      <w:r w:rsidRPr="006D3C51">
        <w:rPr>
          <w:rFonts w:ascii="Times New Roman" w:hAnsi="Times New Roman" w:cs="Times New Roman"/>
          <w:sz w:val="24"/>
          <w:szCs w:val="24"/>
        </w:rPr>
        <w:t xml:space="preserve">70-81). </w:t>
      </w:r>
    </w:p>
    <w:p w14:paraId="1E15A679" w14:textId="711C0564" w:rsidR="002870CD" w:rsidRPr="006D3C51" w:rsidRDefault="004F5828"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lastRenderedPageBreak/>
        <w:t xml:space="preserve">Respecto de la </w:t>
      </w:r>
      <w:r w:rsidR="002870CD" w:rsidRPr="006D3C51">
        <w:rPr>
          <w:rFonts w:ascii="Times New Roman" w:hAnsi="Times New Roman" w:cs="Times New Roman"/>
          <w:sz w:val="24"/>
          <w:szCs w:val="24"/>
        </w:rPr>
        <w:t xml:space="preserve">aplicabilidad del artículo 8 </w:t>
      </w:r>
      <w:r w:rsidRPr="006D3C51">
        <w:rPr>
          <w:rFonts w:ascii="Times New Roman" w:hAnsi="Times New Roman" w:cs="Times New Roman"/>
          <w:sz w:val="24"/>
          <w:szCs w:val="24"/>
        </w:rPr>
        <w:t>CEDH al caso de autos</w:t>
      </w:r>
      <w:r w:rsidR="004D59F0">
        <w:rPr>
          <w:rFonts w:ascii="Times New Roman" w:hAnsi="Times New Roman" w:cs="Times New Roman"/>
          <w:sz w:val="24"/>
          <w:szCs w:val="24"/>
        </w:rPr>
        <w:t>,</w:t>
      </w:r>
      <w:r w:rsidRPr="006D3C51">
        <w:rPr>
          <w:rFonts w:ascii="Times New Roman" w:hAnsi="Times New Roman" w:cs="Times New Roman"/>
          <w:sz w:val="24"/>
          <w:szCs w:val="24"/>
        </w:rPr>
        <w:t xml:space="preserve"> </w:t>
      </w:r>
      <w:r w:rsidR="0091603A" w:rsidRPr="006D3C51">
        <w:rPr>
          <w:rFonts w:ascii="Times New Roman" w:hAnsi="Times New Roman" w:cs="Times New Roman"/>
          <w:sz w:val="24"/>
          <w:szCs w:val="24"/>
        </w:rPr>
        <w:t xml:space="preserve">además de </w:t>
      </w:r>
      <w:r w:rsidRPr="006D3C51">
        <w:rPr>
          <w:rFonts w:ascii="Times New Roman" w:hAnsi="Times New Roman" w:cs="Times New Roman"/>
          <w:sz w:val="24"/>
          <w:szCs w:val="24"/>
        </w:rPr>
        <w:t>record</w:t>
      </w:r>
      <w:r w:rsidR="0091603A" w:rsidRPr="006D3C51">
        <w:rPr>
          <w:rFonts w:ascii="Times New Roman" w:hAnsi="Times New Roman" w:cs="Times New Roman"/>
          <w:sz w:val="24"/>
          <w:szCs w:val="24"/>
        </w:rPr>
        <w:t>ar</w:t>
      </w:r>
      <w:r w:rsidRPr="006D3C51">
        <w:rPr>
          <w:rFonts w:ascii="Times New Roman" w:hAnsi="Times New Roman" w:cs="Times New Roman"/>
          <w:sz w:val="24"/>
          <w:szCs w:val="24"/>
        </w:rPr>
        <w:t xml:space="preserve"> su abundante jurisprudencia que reconoce una gran amplitud al concepto de “vida privada”</w:t>
      </w:r>
      <w:r w:rsidR="004F5F4D" w:rsidRPr="004F5F4D">
        <w:rPr>
          <w:rStyle w:val="Refdenotaalpie"/>
          <w:rFonts w:ascii="Times New Roman" w:hAnsi="Times New Roman" w:cs="Times New Roman"/>
          <w:sz w:val="24"/>
          <w:szCs w:val="24"/>
        </w:rPr>
        <w:t xml:space="preserve"> </w:t>
      </w:r>
      <w:r w:rsidR="004F5F4D" w:rsidRPr="006D3C51">
        <w:rPr>
          <w:rStyle w:val="Refdenotaalpie"/>
          <w:rFonts w:ascii="Times New Roman" w:hAnsi="Times New Roman" w:cs="Times New Roman"/>
          <w:sz w:val="24"/>
          <w:szCs w:val="24"/>
        </w:rPr>
        <w:footnoteReference w:id="42"/>
      </w:r>
      <w:r w:rsidRPr="006D3C51">
        <w:rPr>
          <w:rFonts w:ascii="Times New Roman" w:hAnsi="Times New Roman" w:cs="Times New Roman"/>
          <w:sz w:val="24"/>
          <w:szCs w:val="24"/>
        </w:rPr>
        <w:t xml:space="preserve">, </w:t>
      </w:r>
      <w:r w:rsidR="00B803F0" w:rsidRPr="006D3C51">
        <w:rPr>
          <w:rFonts w:ascii="Times New Roman" w:hAnsi="Times New Roman" w:cs="Times New Roman"/>
          <w:sz w:val="24"/>
          <w:szCs w:val="24"/>
        </w:rPr>
        <w:t xml:space="preserve">el TEDH </w:t>
      </w:r>
      <w:r w:rsidR="0091603A" w:rsidRPr="006D3C51">
        <w:rPr>
          <w:rFonts w:ascii="Times New Roman" w:hAnsi="Times New Roman" w:cs="Times New Roman"/>
          <w:sz w:val="24"/>
          <w:szCs w:val="24"/>
        </w:rPr>
        <w:t>afirmó que el</w:t>
      </w:r>
      <w:r w:rsidR="00BA2BB8" w:rsidRPr="006D3C51">
        <w:rPr>
          <w:rFonts w:ascii="Times New Roman" w:hAnsi="Times New Roman" w:cs="Times New Roman"/>
          <w:sz w:val="24"/>
          <w:szCs w:val="24"/>
        </w:rPr>
        <w:t xml:space="preserve"> </w:t>
      </w:r>
      <w:r w:rsidR="002870CD" w:rsidRPr="006D3C51">
        <w:rPr>
          <w:rFonts w:ascii="Times New Roman" w:hAnsi="Times New Roman" w:cs="Times New Roman"/>
          <w:sz w:val="24"/>
          <w:szCs w:val="24"/>
        </w:rPr>
        <w:t xml:space="preserve">reconocimiento </w:t>
      </w:r>
      <w:r w:rsidR="0091603A" w:rsidRPr="006D3C51">
        <w:rPr>
          <w:rFonts w:ascii="Times New Roman" w:hAnsi="Times New Roman" w:cs="Times New Roman"/>
          <w:sz w:val="24"/>
          <w:szCs w:val="24"/>
        </w:rPr>
        <w:t xml:space="preserve">de la identidad sexual </w:t>
      </w:r>
      <w:r w:rsidR="00BA2BB8" w:rsidRPr="006D3C51">
        <w:rPr>
          <w:rFonts w:ascii="Times New Roman" w:hAnsi="Times New Roman" w:cs="Times New Roman"/>
          <w:sz w:val="24"/>
          <w:szCs w:val="24"/>
        </w:rPr>
        <w:t xml:space="preserve">para </w:t>
      </w:r>
      <w:r w:rsidR="002870CD" w:rsidRPr="006D3C51">
        <w:rPr>
          <w:rFonts w:ascii="Times New Roman" w:hAnsi="Times New Roman" w:cs="Times New Roman"/>
          <w:sz w:val="24"/>
          <w:szCs w:val="24"/>
        </w:rPr>
        <w:t xml:space="preserve">las personas trans que no </w:t>
      </w:r>
      <w:r w:rsidR="00B803F0" w:rsidRPr="006D3C51">
        <w:rPr>
          <w:rFonts w:ascii="Times New Roman" w:hAnsi="Times New Roman" w:cs="Times New Roman"/>
          <w:sz w:val="24"/>
          <w:szCs w:val="24"/>
        </w:rPr>
        <w:t xml:space="preserve">se </w:t>
      </w:r>
      <w:r w:rsidR="002870CD" w:rsidRPr="006D3C51">
        <w:rPr>
          <w:rFonts w:ascii="Times New Roman" w:hAnsi="Times New Roman" w:cs="Times New Roman"/>
          <w:sz w:val="24"/>
          <w:szCs w:val="24"/>
        </w:rPr>
        <w:t>hayan sometid</w:t>
      </w:r>
      <w:r w:rsidR="00B803F0" w:rsidRPr="006D3C51">
        <w:rPr>
          <w:rFonts w:ascii="Times New Roman" w:hAnsi="Times New Roman" w:cs="Times New Roman"/>
          <w:sz w:val="24"/>
          <w:szCs w:val="24"/>
        </w:rPr>
        <w:t>o</w:t>
      </w:r>
      <w:r w:rsidR="002870CD" w:rsidRPr="006D3C51">
        <w:rPr>
          <w:rFonts w:ascii="Times New Roman" w:hAnsi="Times New Roman" w:cs="Times New Roman"/>
          <w:sz w:val="24"/>
          <w:szCs w:val="24"/>
        </w:rPr>
        <w:t xml:space="preserve"> a un tratamiento de reasignación aprobado por las autoridades o que no deseen someterse a</w:t>
      </w:r>
      <w:r w:rsidR="00BA2BB8" w:rsidRPr="006D3C51">
        <w:rPr>
          <w:rFonts w:ascii="Times New Roman" w:hAnsi="Times New Roman" w:cs="Times New Roman"/>
          <w:sz w:val="24"/>
          <w:szCs w:val="24"/>
        </w:rPr>
        <w:t xml:space="preserve">l mismo </w:t>
      </w:r>
      <w:r w:rsidR="002870CD" w:rsidRPr="006D3C51">
        <w:rPr>
          <w:rFonts w:ascii="Times New Roman" w:hAnsi="Times New Roman" w:cs="Times New Roman"/>
          <w:sz w:val="24"/>
          <w:szCs w:val="24"/>
        </w:rPr>
        <w:t xml:space="preserve">quede </w:t>
      </w:r>
      <w:r w:rsidR="0091603A" w:rsidRPr="006D3C51">
        <w:rPr>
          <w:rFonts w:ascii="Times New Roman" w:hAnsi="Times New Roman" w:cs="Times New Roman"/>
          <w:sz w:val="24"/>
          <w:szCs w:val="24"/>
        </w:rPr>
        <w:t xml:space="preserve">queda incluído en </w:t>
      </w:r>
      <w:r w:rsidR="002870CD" w:rsidRPr="006D3C51">
        <w:rPr>
          <w:rFonts w:ascii="Times New Roman" w:hAnsi="Times New Roman" w:cs="Times New Roman"/>
          <w:sz w:val="24"/>
          <w:szCs w:val="24"/>
        </w:rPr>
        <w:t>el ámbito de aplicación del artículo 8</w:t>
      </w:r>
      <w:r w:rsidR="00B803F0" w:rsidRPr="006D3C51">
        <w:rPr>
          <w:rFonts w:ascii="Times New Roman" w:hAnsi="Times New Roman" w:cs="Times New Roman"/>
          <w:sz w:val="24"/>
          <w:szCs w:val="24"/>
        </w:rPr>
        <w:t xml:space="preserve"> CEDH</w:t>
      </w:r>
      <w:r w:rsidR="00AC4EA6" w:rsidRPr="006D3C51">
        <w:rPr>
          <w:rFonts w:ascii="Times New Roman" w:hAnsi="Times New Roman" w:cs="Times New Roman"/>
          <w:sz w:val="24"/>
          <w:szCs w:val="24"/>
        </w:rPr>
        <w:t xml:space="preserve"> (</w:t>
      </w:r>
      <w:r w:rsidR="004D59F0" w:rsidRPr="006D3C51">
        <w:rPr>
          <w:rFonts w:ascii="Times New Roman" w:hAnsi="Times New Roman" w:cs="Times New Roman"/>
          <w:sz w:val="24"/>
          <w:szCs w:val="24"/>
        </w:rPr>
        <w:t>§</w:t>
      </w:r>
      <w:r w:rsidR="004D59F0">
        <w:rPr>
          <w:rFonts w:ascii="Times New Roman" w:hAnsi="Times New Roman" w:cs="Times New Roman"/>
          <w:sz w:val="24"/>
          <w:szCs w:val="24"/>
        </w:rPr>
        <w:t xml:space="preserve"> </w:t>
      </w:r>
      <w:r w:rsidR="00AC4EA6" w:rsidRPr="006D3C51">
        <w:rPr>
          <w:rFonts w:ascii="Times New Roman" w:hAnsi="Times New Roman" w:cs="Times New Roman"/>
          <w:sz w:val="24"/>
          <w:szCs w:val="24"/>
        </w:rPr>
        <w:t>94)</w:t>
      </w:r>
      <w:r w:rsidR="007126E8" w:rsidRPr="006D3C51">
        <w:rPr>
          <w:rFonts w:ascii="Times New Roman" w:hAnsi="Times New Roman" w:cs="Times New Roman"/>
          <w:sz w:val="24"/>
          <w:szCs w:val="24"/>
        </w:rPr>
        <w:t>, pues “</w:t>
      </w:r>
      <w:r w:rsidR="003C2BC5" w:rsidRPr="006D3C51">
        <w:rPr>
          <w:rFonts w:ascii="Times New Roman" w:hAnsi="Times New Roman" w:cs="Times New Roman"/>
          <w:i/>
          <w:sz w:val="24"/>
          <w:szCs w:val="24"/>
        </w:rPr>
        <w:t>[</w:t>
      </w:r>
      <w:r w:rsidR="007126E8" w:rsidRPr="006D3C51">
        <w:rPr>
          <w:rFonts w:ascii="Times New Roman" w:hAnsi="Times New Roman" w:cs="Times New Roman"/>
          <w:i/>
          <w:sz w:val="24"/>
          <w:szCs w:val="24"/>
        </w:rPr>
        <w:t>c</w:t>
      </w:r>
      <w:r w:rsidR="003C2BC5" w:rsidRPr="006D3C51">
        <w:rPr>
          <w:rFonts w:ascii="Times New Roman" w:hAnsi="Times New Roman" w:cs="Times New Roman"/>
          <w:i/>
          <w:sz w:val="24"/>
          <w:szCs w:val="24"/>
        </w:rPr>
        <w:t>]</w:t>
      </w:r>
      <w:proofErr w:type="spellStart"/>
      <w:r w:rsidR="002870CD" w:rsidRPr="006D3C51">
        <w:rPr>
          <w:rFonts w:ascii="Times New Roman" w:hAnsi="Times New Roman" w:cs="Times New Roman"/>
          <w:i/>
          <w:sz w:val="24"/>
          <w:szCs w:val="24"/>
        </w:rPr>
        <w:t>omo</w:t>
      </w:r>
      <w:proofErr w:type="spellEnd"/>
      <w:r w:rsidR="002870CD" w:rsidRPr="006D3C51">
        <w:rPr>
          <w:rFonts w:ascii="Times New Roman" w:hAnsi="Times New Roman" w:cs="Times New Roman"/>
          <w:i/>
          <w:sz w:val="24"/>
          <w:szCs w:val="24"/>
        </w:rPr>
        <w:t xml:space="preserve"> parte de la identidad personal, la identidad de género está plenamente amparada por el derecho al respeto a la vida privada consagrado en el artículo 8 </w:t>
      </w:r>
      <w:r w:rsidR="003C2BC5" w:rsidRPr="006D3C51">
        <w:rPr>
          <w:rFonts w:ascii="Times New Roman" w:hAnsi="Times New Roman" w:cs="Times New Roman"/>
          <w:i/>
          <w:sz w:val="24"/>
          <w:szCs w:val="24"/>
        </w:rPr>
        <w:t>CEDH</w:t>
      </w:r>
      <w:r w:rsidR="003C2BC5" w:rsidRPr="006D3C51">
        <w:rPr>
          <w:rFonts w:ascii="Times New Roman" w:hAnsi="Times New Roman" w:cs="Times New Roman"/>
          <w:sz w:val="24"/>
          <w:szCs w:val="24"/>
        </w:rPr>
        <w:t>” (</w:t>
      </w:r>
      <w:r w:rsidR="004D59F0" w:rsidRPr="006D3C51">
        <w:rPr>
          <w:rFonts w:ascii="Times New Roman" w:hAnsi="Times New Roman" w:cs="Times New Roman"/>
          <w:sz w:val="24"/>
          <w:szCs w:val="24"/>
        </w:rPr>
        <w:t>§</w:t>
      </w:r>
      <w:r w:rsidR="004D59F0">
        <w:rPr>
          <w:rFonts w:ascii="Times New Roman" w:hAnsi="Times New Roman" w:cs="Times New Roman"/>
          <w:sz w:val="24"/>
          <w:szCs w:val="24"/>
        </w:rPr>
        <w:t xml:space="preserve"> </w:t>
      </w:r>
      <w:r w:rsidR="003C2BC5" w:rsidRPr="006D3C51">
        <w:rPr>
          <w:rFonts w:ascii="Times New Roman" w:hAnsi="Times New Roman" w:cs="Times New Roman"/>
          <w:sz w:val="24"/>
          <w:szCs w:val="24"/>
        </w:rPr>
        <w:t xml:space="preserve">95). </w:t>
      </w:r>
      <w:r w:rsidR="004F5F4D">
        <w:rPr>
          <w:rFonts w:ascii="Times New Roman" w:hAnsi="Times New Roman" w:cs="Times New Roman"/>
          <w:sz w:val="24"/>
          <w:szCs w:val="24"/>
        </w:rPr>
        <w:t xml:space="preserve"> </w:t>
      </w:r>
    </w:p>
    <w:p w14:paraId="26CAE439" w14:textId="55FF4581" w:rsidR="002576FB" w:rsidRPr="006D3C51" w:rsidRDefault="002576FB"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El Tribunal de Estrasburgo constató que, en el momento de las circunstancias del caso</w:t>
      </w:r>
      <w:r w:rsidR="0018527A" w:rsidRPr="006D3C51">
        <w:rPr>
          <w:rFonts w:ascii="Times New Roman" w:hAnsi="Times New Roman" w:cs="Times New Roman"/>
          <w:sz w:val="24"/>
          <w:szCs w:val="24"/>
        </w:rPr>
        <w:t xml:space="preserve"> en examen</w:t>
      </w:r>
      <w:r w:rsidRPr="006D3C51">
        <w:rPr>
          <w:rFonts w:ascii="Times New Roman" w:hAnsi="Times New Roman" w:cs="Times New Roman"/>
          <w:sz w:val="24"/>
          <w:szCs w:val="24"/>
        </w:rPr>
        <w:t>, el derecho positivo francés somet</w:t>
      </w:r>
      <w:r w:rsidR="0018527A" w:rsidRPr="006D3C51">
        <w:rPr>
          <w:rFonts w:ascii="Times New Roman" w:hAnsi="Times New Roman" w:cs="Times New Roman"/>
          <w:sz w:val="24"/>
          <w:szCs w:val="24"/>
        </w:rPr>
        <w:t>ía</w:t>
      </w:r>
      <w:r w:rsidRPr="006D3C51">
        <w:rPr>
          <w:rFonts w:ascii="Times New Roman" w:hAnsi="Times New Roman" w:cs="Times New Roman"/>
          <w:sz w:val="24"/>
          <w:szCs w:val="24"/>
        </w:rPr>
        <w:t xml:space="preserve"> el reconocimiento de la identidad sexual de las personas transgénero a la realización de una operación o tratamiento de esterilización, u otro que, por su naturaleza e intensidad, provocaría con una probabilidad muy alta la infertilidad (</w:t>
      </w:r>
      <w:r w:rsidR="004D59F0" w:rsidRPr="006D3C51">
        <w:rPr>
          <w:rFonts w:ascii="Times New Roman" w:hAnsi="Times New Roman" w:cs="Times New Roman"/>
          <w:sz w:val="24"/>
          <w:szCs w:val="24"/>
        </w:rPr>
        <w:t>§</w:t>
      </w:r>
      <w:r w:rsidR="004D59F0">
        <w:rPr>
          <w:rFonts w:ascii="Times New Roman" w:hAnsi="Times New Roman" w:cs="Times New Roman"/>
          <w:sz w:val="24"/>
          <w:szCs w:val="24"/>
        </w:rPr>
        <w:t xml:space="preserve"> </w:t>
      </w:r>
      <w:r w:rsidRPr="006D3C51">
        <w:rPr>
          <w:rFonts w:ascii="Times New Roman" w:hAnsi="Times New Roman" w:cs="Times New Roman"/>
          <w:sz w:val="24"/>
          <w:szCs w:val="24"/>
        </w:rPr>
        <w:t>120).</w:t>
      </w:r>
    </w:p>
    <w:p w14:paraId="16C5B380" w14:textId="3518B666" w:rsidR="008C027D" w:rsidRPr="006D3C51" w:rsidRDefault="008C027D"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Al analizar el </w:t>
      </w:r>
      <w:r w:rsidR="007F7B4A" w:rsidRPr="006D3C51">
        <w:rPr>
          <w:rFonts w:ascii="Times New Roman" w:hAnsi="Times New Roman" w:cs="Times New Roman"/>
          <w:sz w:val="24"/>
          <w:szCs w:val="24"/>
        </w:rPr>
        <w:t xml:space="preserve">alcance del </w:t>
      </w:r>
      <w:r w:rsidRPr="006D3C51">
        <w:rPr>
          <w:rFonts w:ascii="Times New Roman" w:hAnsi="Times New Roman" w:cs="Times New Roman"/>
          <w:sz w:val="24"/>
          <w:szCs w:val="24"/>
        </w:rPr>
        <w:t>margen de apreciación concedido a los Estados miembros respecto de exigir la condición de esterilidad a los transexuales que pidan modificar su identidad sexual en los registros nacionales, el TEDH afirmó que la comunidad internacional no había llegado a un consenso uniforme sobre el particular y seguía estando dividida. Muchos Estados seguían invocando la protección del interés público</w:t>
      </w:r>
      <w:r w:rsidR="001C1BC1" w:rsidRPr="006D3C51">
        <w:rPr>
          <w:rFonts w:ascii="Times New Roman" w:hAnsi="Times New Roman" w:cs="Times New Roman"/>
          <w:sz w:val="24"/>
          <w:szCs w:val="24"/>
        </w:rPr>
        <w:t>, debido a</w:t>
      </w:r>
      <w:r w:rsidRPr="006D3C51">
        <w:rPr>
          <w:rFonts w:ascii="Times New Roman" w:hAnsi="Times New Roman" w:cs="Times New Roman"/>
          <w:sz w:val="24"/>
          <w:szCs w:val="24"/>
        </w:rPr>
        <w:t xml:space="preserve"> la necesidad de preservar el principio de indisponibilidad de la condición personal y garantizar la confiabilidad y coherencia del estado civil, </w:t>
      </w:r>
      <w:r w:rsidR="001C1BC1" w:rsidRPr="006D3C51">
        <w:rPr>
          <w:rFonts w:ascii="Times New Roman" w:hAnsi="Times New Roman" w:cs="Times New Roman"/>
          <w:sz w:val="24"/>
          <w:szCs w:val="24"/>
        </w:rPr>
        <w:t>dado que</w:t>
      </w:r>
      <w:r w:rsidRPr="006D3C51">
        <w:rPr>
          <w:rFonts w:ascii="Times New Roman" w:hAnsi="Times New Roman" w:cs="Times New Roman"/>
          <w:sz w:val="24"/>
          <w:szCs w:val="24"/>
        </w:rPr>
        <w:t xml:space="preserve"> estos casos plantean delicadas cuestiones morales y éticas</w:t>
      </w:r>
      <w:r w:rsidR="001C1BC1" w:rsidRPr="006D3C51">
        <w:rPr>
          <w:rFonts w:ascii="Times New Roman" w:hAnsi="Times New Roman" w:cs="Times New Roman"/>
          <w:sz w:val="24"/>
          <w:szCs w:val="24"/>
        </w:rPr>
        <w:t xml:space="preserve"> (</w:t>
      </w:r>
      <w:r w:rsidR="004D59F0" w:rsidRPr="006D3C51">
        <w:rPr>
          <w:rFonts w:ascii="Times New Roman" w:hAnsi="Times New Roman" w:cs="Times New Roman"/>
          <w:sz w:val="24"/>
          <w:szCs w:val="24"/>
        </w:rPr>
        <w:t>§</w:t>
      </w:r>
      <w:r w:rsidR="004D59F0">
        <w:rPr>
          <w:rFonts w:ascii="Times New Roman" w:hAnsi="Times New Roman" w:cs="Times New Roman"/>
          <w:sz w:val="24"/>
          <w:szCs w:val="24"/>
        </w:rPr>
        <w:t xml:space="preserve"> </w:t>
      </w:r>
      <w:r w:rsidR="001C1BC1" w:rsidRPr="006D3C51">
        <w:rPr>
          <w:rFonts w:ascii="Times New Roman" w:hAnsi="Times New Roman" w:cs="Times New Roman"/>
          <w:sz w:val="24"/>
          <w:szCs w:val="24"/>
        </w:rPr>
        <w:t>122)</w:t>
      </w:r>
      <w:r w:rsidRPr="006D3C51">
        <w:rPr>
          <w:rFonts w:ascii="Times New Roman" w:hAnsi="Times New Roman" w:cs="Times New Roman"/>
          <w:sz w:val="24"/>
          <w:szCs w:val="24"/>
        </w:rPr>
        <w:t>.</w:t>
      </w:r>
    </w:p>
    <w:p w14:paraId="133D3FA0" w14:textId="5DEE31B0" w:rsidR="007D0117" w:rsidRPr="006D3C51" w:rsidRDefault="007F7B4A"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Sin embargo, argumentó el Tribunal, ese margen de apreciación tenía que considerarse especialmente “limitado” en estos </w:t>
      </w:r>
      <w:r w:rsidR="004F5F4D">
        <w:rPr>
          <w:rFonts w:ascii="Times New Roman" w:hAnsi="Times New Roman" w:cs="Times New Roman"/>
          <w:sz w:val="24"/>
          <w:szCs w:val="24"/>
        </w:rPr>
        <w:t>supuestos</w:t>
      </w:r>
      <w:r w:rsidRPr="006D3C51">
        <w:rPr>
          <w:rFonts w:ascii="Times New Roman" w:hAnsi="Times New Roman" w:cs="Times New Roman"/>
          <w:sz w:val="24"/>
          <w:szCs w:val="24"/>
        </w:rPr>
        <w:t xml:space="preserve">, por dos razones principales. En primer lugar, porque en estos casos estaba en juego </w:t>
      </w:r>
      <w:r w:rsidR="008C027D" w:rsidRPr="006D3C51">
        <w:rPr>
          <w:rFonts w:ascii="Times New Roman" w:hAnsi="Times New Roman" w:cs="Times New Roman"/>
          <w:sz w:val="24"/>
          <w:szCs w:val="24"/>
        </w:rPr>
        <w:t>un aspecto esencial de la identidad privada de las personas, si no de su existencia</w:t>
      </w:r>
      <w:r w:rsidRPr="006D3C51">
        <w:rPr>
          <w:rFonts w:ascii="Times New Roman" w:hAnsi="Times New Roman" w:cs="Times New Roman"/>
          <w:sz w:val="24"/>
          <w:szCs w:val="24"/>
        </w:rPr>
        <w:t xml:space="preserve">, dado que </w:t>
      </w:r>
      <w:r w:rsidR="008C027D" w:rsidRPr="006D3C51">
        <w:rPr>
          <w:rFonts w:ascii="Times New Roman" w:hAnsi="Times New Roman" w:cs="Times New Roman"/>
          <w:sz w:val="24"/>
          <w:szCs w:val="24"/>
        </w:rPr>
        <w:t>la integridad física de las personas está directamente involucrada cuando se trata de esterilización</w:t>
      </w:r>
      <w:r w:rsidRPr="006D3C51">
        <w:rPr>
          <w:rFonts w:ascii="Times New Roman" w:hAnsi="Times New Roman" w:cs="Times New Roman"/>
          <w:sz w:val="24"/>
          <w:szCs w:val="24"/>
        </w:rPr>
        <w:t xml:space="preserve"> y que </w:t>
      </w:r>
      <w:r w:rsidR="008C027D" w:rsidRPr="006D3C51">
        <w:rPr>
          <w:rFonts w:ascii="Times New Roman" w:hAnsi="Times New Roman" w:cs="Times New Roman"/>
          <w:sz w:val="24"/>
          <w:szCs w:val="24"/>
        </w:rPr>
        <w:t xml:space="preserve">el derecho a la identidad de género y el desarrollo personal es un aspecto fundamental del derecho al respeto de la vida privada (§ </w:t>
      </w:r>
      <w:r w:rsidRPr="006D3C51">
        <w:rPr>
          <w:rFonts w:ascii="Times New Roman" w:hAnsi="Times New Roman" w:cs="Times New Roman"/>
          <w:sz w:val="24"/>
          <w:szCs w:val="24"/>
        </w:rPr>
        <w:t>123</w:t>
      </w:r>
      <w:r w:rsidR="008C027D" w:rsidRPr="006D3C51">
        <w:rPr>
          <w:rFonts w:ascii="Times New Roman" w:hAnsi="Times New Roman" w:cs="Times New Roman"/>
          <w:sz w:val="24"/>
          <w:szCs w:val="24"/>
        </w:rPr>
        <w:t>).</w:t>
      </w:r>
      <w:r w:rsidRPr="006D3C51">
        <w:rPr>
          <w:rFonts w:ascii="Times New Roman" w:hAnsi="Times New Roman" w:cs="Times New Roman"/>
          <w:sz w:val="24"/>
          <w:szCs w:val="24"/>
        </w:rPr>
        <w:t xml:space="preserve"> En segundo lugar, porque </w:t>
      </w:r>
      <w:r w:rsidR="007D0117" w:rsidRPr="006D3C51">
        <w:rPr>
          <w:rFonts w:ascii="Times New Roman" w:hAnsi="Times New Roman" w:cs="Times New Roman"/>
          <w:sz w:val="24"/>
          <w:szCs w:val="24"/>
        </w:rPr>
        <w:t>la evolución de las legislaciones de muchos Estados miembros y las afirmaciones de muchos actores institucionales europeos e internacionales que se dedican a la promoción y defensa de los derechos humanos estaban yendo en la dirección de la progresiva eliminación del requisito de la esterilización como condición para obtener la modificación de la identidad sexual de los registros administrativos nacionales (</w:t>
      </w:r>
      <w:r w:rsidR="004D59F0" w:rsidRPr="006D3C51">
        <w:rPr>
          <w:rFonts w:ascii="Times New Roman" w:hAnsi="Times New Roman" w:cs="Times New Roman"/>
          <w:sz w:val="24"/>
          <w:szCs w:val="24"/>
        </w:rPr>
        <w:t>§</w:t>
      </w:r>
      <w:r w:rsidR="004D59F0">
        <w:rPr>
          <w:rFonts w:ascii="Times New Roman" w:hAnsi="Times New Roman" w:cs="Times New Roman"/>
          <w:sz w:val="24"/>
          <w:szCs w:val="24"/>
        </w:rPr>
        <w:t xml:space="preserve"> </w:t>
      </w:r>
      <w:r w:rsidR="007D0117" w:rsidRPr="006D3C51">
        <w:rPr>
          <w:rFonts w:ascii="Times New Roman" w:hAnsi="Times New Roman" w:cs="Times New Roman"/>
          <w:sz w:val="24"/>
          <w:szCs w:val="24"/>
        </w:rPr>
        <w:t xml:space="preserve">124). </w:t>
      </w:r>
    </w:p>
    <w:p w14:paraId="7209C815" w14:textId="5AE36FE7" w:rsidR="007F38D7" w:rsidRPr="006D3C51" w:rsidRDefault="00A87BD1"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En los Estados que siguen manteniendo este requisito para acceder al cambio registral del sexo, personas que no querían realmente someterse a estos tratamientos tuvieron que aceptarlos con el único propósito de ver por fin reconocida su verdadera identidad sexual también en los documentos oficiales (</w:t>
      </w:r>
      <w:r w:rsidR="004D59F0" w:rsidRPr="006D3C51">
        <w:rPr>
          <w:rFonts w:ascii="Times New Roman" w:hAnsi="Times New Roman" w:cs="Times New Roman"/>
          <w:sz w:val="24"/>
          <w:szCs w:val="24"/>
        </w:rPr>
        <w:t>§</w:t>
      </w:r>
      <w:r w:rsidR="004D59F0">
        <w:rPr>
          <w:rFonts w:ascii="Times New Roman" w:hAnsi="Times New Roman" w:cs="Times New Roman"/>
          <w:sz w:val="24"/>
          <w:szCs w:val="24"/>
        </w:rPr>
        <w:t xml:space="preserve"> </w:t>
      </w:r>
      <w:r w:rsidRPr="006D3C51">
        <w:rPr>
          <w:rFonts w:ascii="Times New Roman" w:hAnsi="Times New Roman" w:cs="Times New Roman"/>
          <w:sz w:val="24"/>
          <w:szCs w:val="24"/>
        </w:rPr>
        <w:t>126). El TEDH no dudó en afirmar de manera tajante que “</w:t>
      </w:r>
      <w:r w:rsidRPr="006D3C51">
        <w:rPr>
          <w:rFonts w:ascii="Times New Roman" w:hAnsi="Times New Roman" w:cs="Times New Roman"/>
          <w:i/>
          <w:sz w:val="24"/>
          <w:szCs w:val="24"/>
        </w:rPr>
        <w:t>tales tratamientos y operaciones médicas afectan la integridad física de la persona, que está protegida por el artículo 3 CEDH, así como por el artículo 8 CEDH</w:t>
      </w:r>
      <w:r w:rsidRPr="006D3C51">
        <w:rPr>
          <w:rFonts w:ascii="Times New Roman" w:hAnsi="Times New Roman" w:cs="Times New Roman"/>
          <w:sz w:val="24"/>
          <w:szCs w:val="24"/>
        </w:rPr>
        <w:t>” (</w:t>
      </w:r>
      <w:r w:rsidR="004D59F0" w:rsidRPr="006D3C51">
        <w:rPr>
          <w:rFonts w:ascii="Times New Roman" w:hAnsi="Times New Roman" w:cs="Times New Roman"/>
          <w:sz w:val="24"/>
          <w:szCs w:val="24"/>
        </w:rPr>
        <w:t>§</w:t>
      </w:r>
      <w:r w:rsidR="004D59F0">
        <w:rPr>
          <w:rFonts w:ascii="Times New Roman" w:hAnsi="Times New Roman" w:cs="Times New Roman"/>
          <w:sz w:val="24"/>
          <w:szCs w:val="24"/>
        </w:rPr>
        <w:t xml:space="preserve"> </w:t>
      </w:r>
      <w:r w:rsidRPr="006D3C51">
        <w:rPr>
          <w:rFonts w:ascii="Times New Roman" w:hAnsi="Times New Roman" w:cs="Times New Roman"/>
          <w:sz w:val="24"/>
          <w:szCs w:val="24"/>
        </w:rPr>
        <w:t>127)</w:t>
      </w:r>
      <w:r w:rsidR="00C624A5" w:rsidRPr="006D3C51">
        <w:rPr>
          <w:rFonts w:ascii="Times New Roman" w:hAnsi="Times New Roman" w:cs="Times New Roman"/>
          <w:sz w:val="24"/>
          <w:szCs w:val="24"/>
        </w:rPr>
        <w:t xml:space="preserve">, pues tienen consecuencias importantes en </w:t>
      </w:r>
      <w:r w:rsidRPr="006D3C51">
        <w:rPr>
          <w:rFonts w:ascii="Times New Roman" w:hAnsi="Times New Roman" w:cs="Times New Roman"/>
          <w:sz w:val="24"/>
          <w:szCs w:val="24"/>
        </w:rPr>
        <w:t>el bienestar físico</w:t>
      </w:r>
      <w:r w:rsidR="007F38D7" w:rsidRPr="006D3C51">
        <w:rPr>
          <w:rFonts w:ascii="Times New Roman" w:hAnsi="Times New Roman" w:cs="Times New Roman"/>
          <w:sz w:val="24"/>
          <w:szCs w:val="24"/>
        </w:rPr>
        <w:t xml:space="preserve"> y</w:t>
      </w:r>
      <w:r w:rsidRPr="006D3C51">
        <w:rPr>
          <w:rFonts w:ascii="Times New Roman" w:hAnsi="Times New Roman" w:cs="Times New Roman"/>
          <w:sz w:val="24"/>
          <w:szCs w:val="24"/>
        </w:rPr>
        <w:t xml:space="preserve"> mental </w:t>
      </w:r>
      <w:r w:rsidR="007F38D7" w:rsidRPr="006D3C51">
        <w:rPr>
          <w:rFonts w:ascii="Times New Roman" w:hAnsi="Times New Roman" w:cs="Times New Roman"/>
          <w:sz w:val="24"/>
          <w:szCs w:val="24"/>
        </w:rPr>
        <w:t>y en la vida</w:t>
      </w:r>
      <w:r w:rsidRPr="006D3C51">
        <w:rPr>
          <w:rFonts w:ascii="Times New Roman" w:hAnsi="Times New Roman" w:cs="Times New Roman"/>
          <w:sz w:val="24"/>
          <w:szCs w:val="24"/>
        </w:rPr>
        <w:t xml:space="preserve"> emocional, espiritual y familiar</w:t>
      </w:r>
      <w:r w:rsidR="007F38D7" w:rsidRPr="006D3C51">
        <w:rPr>
          <w:rFonts w:ascii="Times New Roman" w:hAnsi="Times New Roman" w:cs="Times New Roman"/>
          <w:sz w:val="24"/>
          <w:szCs w:val="24"/>
        </w:rPr>
        <w:t xml:space="preserve"> (</w:t>
      </w:r>
      <w:r w:rsidR="004D59F0" w:rsidRPr="006D3C51">
        <w:rPr>
          <w:rFonts w:ascii="Times New Roman" w:hAnsi="Times New Roman" w:cs="Times New Roman"/>
          <w:sz w:val="24"/>
          <w:szCs w:val="24"/>
        </w:rPr>
        <w:t>§</w:t>
      </w:r>
      <w:r w:rsidR="004D59F0">
        <w:rPr>
          <w:rFonts w:ascii="Times New Roman" w:hAnsi="Times New Roman" w:cs="Times New Roman"/>
          <w:sz w:val="24"/>
          <w:szCs w:val="24"/>
        </w:rPr>
        <w:t xml:space="preserve"> </w:t>
      </w:r>
      <w:r w:rsidR="007F38D7" w:rsidRPr="006D3C51">
        <w:rPr>
          <w:rFonts w:ascii="Times New Roman" w:hAnsi="Times New Roman" w:cs="Times New Roman"/>
          <w:sz w:val="24"/>
          <w:szCs w:val="24"/>
        </w:rPr>
        <w:t>128)</w:t>
      </w:r>
      <w:r w:rsidRPr="006D3C51">
        <w:rPr>
          <w:rFonts w:ascii="Times New Roman" w:hAnsi="Times New Roman" w:cs="Times New Roman"/>
          <w:sz w:val="24"/>
          <w:szCs w:val="24"/>
        </w:rPr>
        <w:t xml:space="preserve">. </w:t>
      </w:r>
    </w:p>
    <w:p w14:paraId="290F1888" w14:textId="2CBC1DD1" w:rsidR="00A87BD1" w:rsidRPr="006D3C51" w:rsidRDefault="004807EA"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lastRenderedPageBreak/>
        <w:t xml:space="preserve">Asimismo, el TEDH afirmó que, evidentemente, el consentimiento a un </w:t>
      </w:r>
      <w:r w:rsidR="00A87BD1" w:rsidRPr="006D3C51">
        <w:rPr>
          <w:rFonts w:ascii="Times New Roman" w:hAnsi="Times New Roman" w:cs="Times New Roman"/>
          <w:sz w:val="24"/>
          <w:szCs w:val="24"/>
        </w:rPr>
        <w:t xml:space="preserve">tratamiento médico no se otorga genuinamente </w:t>
      </w:r>
      <w:r w:rsidRPr="006D3C51">
        <w:rPr>
          <w:rFonts w:ascii="Times New Roman" w:hAnsi="Times New Roman" w:cs="Times New Roman"/>
          <w:sz w:val="24"/>
          <w:szCs w:val="24"/>
        </w:rPr>
        <w:t xml:space="preserve">y libremente </w:t>
      </w:r>
      <w:r w:rsidR="00A87BD1" w:rsidRPr="006D3C51">
        <w:rPr>
          <w:rFonts w:ascii="Times New Roman" w:hAnsi="Times New Roman" w:cs="Times New Roman"/>
          <w:sz w:val="24"/>
          <w:szCs w:val="24"/>
        </w:rPr>
        <w:t xml:space="preserve">cuando </w:t>
      </w:r>
      <w:r w:rsidRPr="006D3C51">
        <w:rPr>
          <w:rFonts w:ascii="Times New Roman" w:hAnsi="Times New Roman" w:cs="Times New Roman"/>
          <w:sz w:val="24"/>
          <w:szCs w:val="24"/>
        </w:rPr>
        <w:t xml:space="preserve">no prestarlo </w:t>
      </w:r>
      <w:r w:rsidR="00A87BD1" w:rsidRPr="006D3C51">
        <w:rPr>
          <w:rFonts w:ascii="Times New Roman" w:hAnsi="Times New Roman" w:cs="Times New Roman"/>
          <w:sz w:val="24"/>
          <w:szCs w:val="24"/>
        </w:rPr>
        <w:t>tiene como consecuencia privar</w:t>
      </w:r>
      <w:r w:rsidRPr="006D3C51">
        <w:rPr>
          <w:rFonts w:ascii="Times New Roman" w:hAnsi="Times New Roman" w:cs="Times New Roman"/>
          <w:sz w:val="24"/>
          <w:szCs w:val="24"/>
        </w:rPr>
        <w:t xml:space="preserve"> a la persona</w:t>
      </w:r>
      <w:r w:rsidR="00A87BD1" w:rsidRPr="006D3C51">
        <w:rPr>
          <w:rFonts w:ascii="Times New Roman" w:hAnsi="Times New Roman" w:cs="Times New Roman"/>
          <w:sz w:val="24"/>
          <w:szCs w:val="24"/>
        </w:rPr>
        <w:t xml:space="preserve"> del pleno ejercicio de su derecho a la identidad </w:t>
      </w:r>
      <w:r w:rsidRPr="006D3C51">
        <w:rPr>
          <w:rFonts w:ascii="Times New Roman" w:hAnsi="Times New Roman" w:cs="Times New Roman"/>
          <w:sz w:val="24"/>
          <w:szCs w:val="24"/>
        </w:rPr>
        <w:t xml:space="preserve">sexual </w:t>
      </w:r>
      <w:r w:rsidR="00A87BD1" w:rsidRPr="006D3C51">
        <w:rPr>
          <w:rFonts w:ascii="Times New Roman" w:hAnsi="Times New Roman" w:cs="Times New Roman"/>
          <w:sz w:val="24"/>
          <w:szCs w:val="24"/>
        </w:rPr>
        <w:t>y</w:t>
      </w:r>
      <w:r w:rsidRPr="006D3C51">
        <w:rPr>
          <w:rFonts w:ascii="Times New Roman" w:hAnsi="Times New Roman" w:cs="Times New Roman"/>
          <w:sz w:val="24"/>
          <w:szCs w:val="24"/>
        </w:rPr>
        <w:t xml:space="preserve"> a su</w:t>
      </w:r>
      <w:r w:rsidR="00A87BD1" w:rsidRPr="006D3C51">
        <w:rPr>
          <w:rFonts w:ascii="Times New Roman" w:hAnsi="Times New Roman" w:cs="Times New Roman"/>
          <w:sz w:val="24"/>
          <w:szCs w:val="24"/>
        </w:rPr>
        <w:t xml:space="preserve"> desarrollo personal</w:t>
      </w:r>
      <w:r w:rsidRPr="006D3C51">
        <w:rPr>
          <w:rFonts w:ascii="Times New Roman" w:hAnsi="Times New Roman" w:cs="Times New Roman"/>
          <w:sz w:val="24"/>
          <w:szCs w:val="24"/>
        </w:rPr>
        <w:t xml:space="preserve"> (</w:t>
      </w:r>
      <w:r w:rsidR="004D59F0" w:rsidRPr="006D3C51">
        <w:rPr>
          <w:rFonts w:ascii="Times New Roman" w:hAnsi="Times New Roman" w:cs="Times New Roman"/>
          <w:sz w:val="24"/>
          <w:szCs w:val="24"/>
        </w:rPr>
        <w:t>§</w:t>
      </w:r>
      <w:r w:rsidR="004D59F0">
        <w:rPr>
          <w:rFonts w:ascii="Times New Roman" w:hAnsi="Times New Roman" w:cs="Times New Roman"/>
          <w:sz w:val="24"/>
          <w:szCs w:val="24"/>
        </w:rPr>
        <w:t xml:space="preserve"> </w:t>
      </w:r>
      <w:r w:rsidRPr="006D3C51">
        <w:rPr>
          <w:rFonts w:ascii="Times New Roman" w:hAnsi="Times New Roman" w:cs="Times New Roman"/>
          <w:sz w:val="24"/>
          <w:szCs w:val="24"/>
        </w:rPr>
        <w:t>130)</w:t>
      </w:r>
      <w:r w:rsidR="00A87BD1" w:rsidRPr="006D3C51">
        <w:rPr>
          <w:rFonts w:ascii="Times New Roman" w:hAnsi="Times New Roman" w:cs="Times New Roman"/>
          <w:sz w:val="24"/>
          <w:szCs w:val="24"/>
        </w:rPr>
        <w:t>.</w:t>
      </w:r>
      <w:r w:rsidR="005A250F" w:rsidRPr="006D3C51">
        <w:rPr>
          <w:rFonts w:ascii="Times New Roman" w:hAnsi="Times New Roman" w:cs="Times New Roman"/>
          <w:sz w:val="24"/>
          <w:szCs w:val="24"/>
        </w:rPr>
        <w:t xml:space="preserve"> Por tanto, “</w:t>
      </w:r>
      <w:r w:rsidR="005A250F" w:rsidRPr="006D3C51">
        <w:rPr>
          <w:rFonts w:ascii="Times New Roman" w:hAnsi="Times New Roman" w:cs="Times New Roman"/>
          <w:i/>
          <w:sz w:val="24"/>
          <w:szCs w:val="24"/>
        </w:rPr>
        <w:t>[c]</w:t>
      </w:r>
      <w:proofErr w:type="spellStart"/>
      <w:r w:rsidR="00A87BD1" w:rsidRPr="006D3C51">
        <w:rPr>
          <w:rFonts w:ascii="Times New Roman" w:hAnsi="Times New Roman" w:cs="Times New Roman"/>
          <w:i/>
          <w:sz w:val="24"/>
          <w:szCs w:val="24"/>
        </w:rPr>
        <w:t>ondicionar</w:t>
      </w:r>
      <w:proofErr w:type="spellEnd"/>
      <w:r w:rsidR="00A87BD1" w:rsidRPr="006D3C51">
        <w:rPr>
          <w:rFonts w:ascii="Times New Roman" w:hAnsi="Times New Roman" w:cs="Times New Roman"/>
          <w:i/>
          <w:sz w:val="24"/>
          <w:szCs w:val="24"/>
        </w:rPr>
        <w:t xml:space="preserve"> el reconocimiento de la identidad sexual de las personas trans a la realización de una operación o tratamiento de esterilización </w:t>
      </w:r>
      <w:r w:rsidR="005A250F" w:rsidRPr="006D3C51">
        <w:rPr>
          <w:rFonts w:ascii="Times New Roman" w:hAnsi="Times New Roman" w:cs="Times New Roman"/>
          <w:i/>
          <w:sz w:val="24"/>
          <w:szCs w:val="24"/>
        </w:rPr>
        <w:t xml:space="preserve">– </w:t>
      </w:r>
      <w:r w:rsidR="00A87BD1" w:rsidRPr="006D3C51">
        <w:rPr>
          <w:rFonts w:ascii="Times New Roman" w:hAnsi="Times New Roman" w:cs="Times New Roman"/>
          <w:i/>
          <w:sz w:val="24"/>
          <w:szCs w:val="24"/>
        </w:rPr>
        <w:t>o que muy probablemente produzca un efecto de esta naturaleza</w:t>
      </w:r>
      <w:r w:rsidR="005A250F" w:rsidRPr="006D3C51">
        <w:rPr>
          <w:rFonts w:ascii="Times New Roman" w:hAnsi="Times New Roman" w:cs="Times New Roman"/>
          <w:i/>
          <w:sz w:val="24"/>
          <w:szCs w:val="24"/>
        </w:rPr>
        <w:t xml:space="preserve"> – </w:t>
      </w:r>
      <w:r w:rsidR="00A87BD1" w:rsidRPr="006D3C51">
        <w:rPr>
          <w:rFonts w:ascii="Times New Roman" w:hAnsi="Times New Roman" w:cs="Times New Roman"/>
          <w:i/>
          <w:sz w:val="24"/>
          <w:szCs w:val="24"/>
        </w:rPr>
        <w:t xml:space="preserve">al que no deseen someterse, equivale a condicionar el ejercicio pleno de su derecho al respeto a su vida privada consagrado en el artículo 8 </w:t>
      </w:r>
      <w:r w:rsidR="005A250F" w:rsidRPr="006D3C51">
        <w:rPr>
          <w:rFonts w:ascii="Times New Roman" w:hAnsi="Times New Roman" w:cs="Times New Roman"/>
          <w:i/>
          <w:sz w:val="24"/>
          <w:szCs w:val="24"/>
        </w:rPr>
        <w:t>CEDH</w:t>
      </w:r>
      <w:r w:rsidR="00A87BD1" w:rsidRPr="006D3C51">
        <w:rPr>
          <w:rFonts w:ascii="Times New Roman" w:hAnsi="Times New Roman" w:cs="Times New Roman"/>
          <w:i/>
          <w:sz w:val="24"/>
          <w:szCs w:val="24"/>
        </w:rPr>
        <w:t xml:space="preserve"> a la renuncia al pleno ejercicio de su derecho al respeto a su integridad física garantizado no solo por esta disposición sino también por el artículo 3 de</w:t>
      </w:r>
      <w:r w:rsidR="005A250F" w:rsidRPr="006D3C51">
        <w:rPr>
          <w:rFonts w:ascii="Times New Roman" w:hAnsi="Times New Roman" w:cs="Times New Roman"/>
          <w:i/>
          <w:sz w:val="24"/>
          <w:szCs w:val="24"/>
        </w:rPr>
        <w:t>l Convenio</w:t>
      </w:r>
      <w:r w:rsidR="005A250F" w:rsidRPr="006D3C51">
        <w:rPr>
          <w:rFonts w:ascii="Times New Roman" w:hAnsi="Times New Roman" w:cs="Times New Roman"/>
          <w:sz w:val="24"/>
          <w:szCs w:val="24"/>
        </w:rPr>
        <w:t>” (</w:t>
      </w:r>
      <w:r w:rsidR="004D59F0" w:rsidRPr="006D3C51">
        <w:rPr>
          <w:rFonts w:ascii="Times New Roman" w:hAnsi="Times New Roman" w:cs="Times New Roman"/>
          <w:sz w:val="24"/>
          <w:szCs w:val="24"/>
        </w:rPr>
        <w:t>§</w:t>
      </w:r>
      <w:r w:rsidR="004D59F0">
        <w:rPr>
          <w:rFonts w:ascii="Times New Roman" w:hAnsi="Times New Roman" w:cs="Times New Roman"/>
          <w:sz w:val="24"/>
          <w:szCs w:val="24"/>
        </w:rPr>
        <w:t xml:space="preserve"> </w:t>
      </w:r>
      <w:r w:rsidR="005A250F" w:rsidRPr="006D3C51">
        <w:rPr>
          <w:rFonts w:ascii="Times New Roman" w:hAnsi="Times New Roman" w:cs="Times New Roman"/>
          <w:sz w:val="24"/>
          <w:szCs w:val="24"/>
        </w:rPr>
        <w:t>131)</w:t>
      </w:r>
      <w:r w:rsidR="00A87BD1" w:rsidRPr="006D3C51">
        <w:rPr>
          <w:rFonts w:ascii="Times New Roman" w:hAnsi="Times New Roman" w:cs="Times New Roman"/>
          <w:sz w:val="24"/>
          <w:szCs w:val="24"/>
        </w:rPr>
        <w:t>.</w:t>
      </w:r>
    </w:p>
    <w:p w14:paraId="3C6ECAE4" w14:textId="2588CE15" w:rsidR="005A250F" w:rsidRPr="006D3C51" w:rsidRDefault="00274C79"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El Tribunal Europeo no habría podido decirlo más claramente. </w:t>
      </w:r>
    </w:p>
    <w:p w14:paraId="01382BE6" w14:textId="33B9F868" w:rsidR="009649A2" w:rsidRPr="006D3C51" w:rsidRDefault="001547C5"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Es evidente, pues, que</w:t>
      </w:r>
      <w:r w:rsidR="005A5406" w:rsidRPr="006D3C51">
        <w:rPr>
          <w:rFonts w:ascii="Times New Roman" w:hAnsi="Times New Roman" w:cs="Times New Roman"/>
          <w:sz w:val="24"/>
          <w:szCs w:val="24"/>
        </w:rPr>
        <w:t xml:space="preserve">, en aras de la protección del interés general antes descrito, el Estado demandado obligó a </w:t>
      </w:r>
      <w:r w:rsidR="00A87BD1" w:rsidRPr="006D3C51">
        <w:rPr>
          <w:rFonts w:ascii="Times New Roman" w:hAnsi="Times New Roman" w:cs="Times New Roman"/>
          <w:sz w:val="24"/>
          <w:szCs w:val="24"/>
        </w:rPr>
        <w:t>las personas trans</w:t>
      </w:r>
      <w:r w:rsidR="005A5406" w:rsidRPr="006D3C51">
        <w:rPr>
          <w:rFonts w:ascii="Times New Roman" w:hAnsi="Times New Roman" w:cs="Times New Roman"/>
          <w:sz w:val="24"/>
          <w:szCs w:val="24"/>
        </w:rPr>
        <w:t xml:space="preserve">exuales a decidir entre </w:t>
      </w:r>
      <w:r w:rsidR="00A87BD1" w:rsidRPr="006D3C51">
        <w:rPr>
          <w:rFonts w:ascii="Times New Roman" w:hAnsi="Times New Roman" w:cs="Times New Roman"/>
          <w:sz w:val="24"/>
          <w:szCs w:val="24"/>
        </w:rPr>
        <w:t>someterse</w:t>
      </w:r>
      <w:r w:rsidR="005A5406" w:rsidRPr="006D3C51">
        <w:rPr>
          <w:rFonts w:ascii="Times New Roman" w:hAnsi="Times New Roman" w:cs="Times New Roman"/>
          <w:sz w:val="24"/>
          <w:szCs w:val="24"/>
        </w:rPr>
        <w:t>, sin desearlo,</w:t>
      </w:r>
      <w:r w:rsidR="00A87BD1" w:rsidRPr="006D3C51">
        <w:rPr>
          <w:rFonts w:ascii="Times New Roman" w:hAnsi="Times New Roman" w:cs="Times New Roman"/>
          <w:sz w:val="24"/>
          <w:szCs w:val="24"/>
        </w:rPr>
        <w:t xml:space="preserve"> a una operación o un tratamiento esterilizante, renunci</w:t>
      </w:r>
      <w:r w:rsidR="005A5406" w:rsidRPr="006D3C51">
        <w:rPr>
          <w:rFonts w:ascii="Times New Roman" w:hAnsi="Times New Roman" w:cs="Times New Roman"/>
          <w:sz w:val="24"/>
          <w:szCs w:val="24"/>
        </w:rPr>
        <w:t>ando así</w:t>
      </w:r>
      <w:r w:rsidR="00A87BD1" w:rsidRPr="006D3C51">
        <w:rPr>
          <w:rFonts w:ascii="Times New Roman" w:hAnsi="Times New Roman" w:cs="Times New Roman"/>
          <w:sz w:val="24"/>
          <w:szCs w:val="24"/>
        </w:rPr>
        <w:t xml:space="preserve"> al pleno ejercicio de su derecho al respeto de su integridad física, </w:t>
      </w:r>
      <w:r w:rsidR="005A5406" w:rsidRPr="006D3C51">
        <w:rPr>
          <w:rFonts w:ascii="Times New Roman" w:hAnsi="Times New Roman" w:cs="Times New Roman"/>
          <w:sz w:val="24"/>
          <w:szCs w:val="24"/>
        </w:rPr>
        <w:t>protegido</w:t>
      </w:r>
      <w:r w:rsidR="00A87BD1" w:rsidRPr="006D3C51">
        <w:rPr>
          <w:rFonts w:ascii="Times New Roman" w:hAnsi="Times New Roman" w:cs="Times New Roman"/>
          <w:sz w:val="24"/>
          <w:szCs w:val="24"/>
        </w:rPr>
        <w:t xml:space="preserve"> por el artículo 8 </w:t>
      </w:r>
      <w:r w:rsidR="005A5406" w:rsidRPr="006D3C51">
        <w:rPr>
          <w:rFonts w:ascii="Times New Roman" w:hAnsi="Times New Roman" w:cs="Times New Roman"/>
          <w:sz w:val="24"/>
          <w:szCs w:val="24"/>
        </w:rPr>
        <w:t>CEDH,</w:t>
      </w:r>
      <w:r w:rsidR="00A87BD1" w:rsidRPr="006D3C51">
        <w:rPr>
          <w:rFonts w:ascii="Times New Roman" w:hAnsi="Times New Roman" w:cs="Times New Roman"/>
          <w:sz w:val="24"/>
          <w:szCs w:val="24"/>
        </w:rPr>
        <w:t xml:space="preserve"> o renunciar al reconocimiento de su identidad sexual y por tanto al pleno ejercicio de este mismo derecho</w:t>
      </w:r>
      <w:r w:rsidR="005A5406" w:rsidRPr="006D3C51">
        <w:rPr>
          <w:rFonts w:ascii="Times New Roman" w:hAnsi="Times New Roman" w:cs="Times New Roman"/>
          <w:sz w:val="24"/>
          <w:szCs w:val="24"/>
        </w:rPr>
        <w:t xml:space="preserve">. Todo ello, opinó el TEDH, no puede considerarse respetuoso del </w:t>
      </w:r>
      <w:r w:rsidR="00A87BD1" w:rsidRPr="006D3C51">
        <w:rPr>
          <w:rFonts w:ascii="Times New Roman" w:hAnsi="Times New Roman" w:cs="Times New Roman"/>
          <w:sz w:val="24"/>
          <w:szCs w:val="24"/>
        </w:rPr>
        <w:t xml:space="preserve">justo equilibrio que los Estados </w:t>
      </w:r>
      <w:r w:rsidR="005A5406" w:rsidRPr="006D3C51">
        <w:rPr>
          <w:rFonts w:ascii="Times New Roman" w:hAnsi="Times New Roman" w:cs="Times New Roman"/>
          <w:sz w:val="24"/>
          <w:szCs w:val="24"/>
        </w:rPr>
        <w:t>miembros</w:t>
      </w:r>
      <w:r w:rsidR="00A87BD1" w:rsidRPr="006D3C51">
        <w:rPr>
          <w:rFonts w:ascii="Times New Roman" w:hAnsi="Times New Roman" w:cs="Times New Roman"/>
          <w:sz w:val="24"/>
          <w:szCs w:val="24"/>
        </w:rPr>
        <w:t xml:space="preserve"> deben mantener entre el interés general y los intereses de los</w:t>
      </w:r>
      <w:r w:rsidR="005A5406" w:rsidRPr="006D3C51">
        <w:rPr>
          <w:rFonts w:ascii="Times New Roman" w:hAnsi="Times New Roman" w:cs="Times New Roman"/>
          <w:sz w:val="24"/>
          <w:szCs w:val="24"/>
        </w:rPr>
        <w:t xml:space="preserve"> particulares (</w:t>
      </w:r>
      <w:r w:rsidR="004D59F0" w:rsidRPr="006D3C51">
        <w:rPr>
          <w:rFonts w:ascii="Times New Roman" w:hAnsi="Times New Roman" w:cs="Times New Roman"/>
          <w:sz w:val="24"/>
          <w:szCs w:val="24"/>
        </w:rPr>
        <w:t>§</w:t>
      </w:r>
      <w:r w:rsidR="004D59F0">
        <w:rPr>
          <w:rFonts w:ascii="Times New Roman" w:hAnsi="Times New Roman" w:cs="Times New Roman"/>
          <w:sz w:val="24"/>
          <w:szCs w:val="24"/>
        </w:rPr>
        <w:t xml:space="preserve"> </w:t>
      </w:r>
      <w:r w:rsidR="005A5406" w:rsidRPr="006D3C51">
        <w:rPr>
          <w:rFonts w:ascii="Times New Roman" w:hAnsi="Times New Roman" w:cs="Times New Roman"/>
          <w:sz w:val="24"/>
          <w:szCs w:val="24"/>
        </w:rPr>
        <w:t>132)</w:t>
      </w:r>
      <w:r w:rsidR="00955092" w:rsidRPr="006D3C51">
        <w:rPr>
          <w:rFonts w:ascii="Times New Roman" w:hAnsi="Times New Roman" w:cs="Times New Roman"/>
          <w:sz w:val="24"/>
          <w:szCs w:val="24"/>
        </w:rPr>
        <w:t>, y constituye una violación del art. 8 CEDH (</w:t>
      </w:r>
      <w:r w:rsidR="004D59F0" w:rsidRPr="006D3C51">
        <w:rPr>
          <w:rFonts w:ascii="Times New Roman" w:hAnsi="Times New Roman" w:cs="Times New Roman"/>
          <w:sz w:val="24"/>
          <w:szCs w:val="24"/>
        </w:rPr>
        <w:t>§</w:t>
      </w:r>
      <w:r w:rsidR="004D59F0">
        <w:rPr>
          <w:rFonts w:ascii="Times New Roman" w:hAnsi="Times New Roman" w:cs="Times New Roman"/>
          <w:sz w:val="24"/>
          <w:szCs w:val="24"/>
        </w:rPr>
        <w:t xml:space="preserve"> </w:t>
      </w:r>
      <w:r w:rsidR="00955092" w:rsidRPr="006D3C51">
        <w:rPr>
          <w:rFonts w:ascii="Times New Roman" w:hAnsi="Times New Roman" w:cs="Times New Roman"/>
          <w:sz w:val="24"/>
          <w:szCs w:val="24"/>
        </w:rPr>
        <w:t xml:space="preserve">135). </w:t>
      </w:r>
    </w:p>
    <w:p w14:paraId="19944C20" w14:textId="77777777" w:rsidR="009649A2" w:rsidRPr="006D3C51" w:rsidRDefault="009649A2" w:rsidP="00781D53">
      <w:pPr>
        <w:spacing w:after="0" w:line="276" w:lineRule="auto"/>
        <w:jc w:val="both"/>
        <w:rPr>
          <w:rFonts w:ascii="Times New Roman" w:hAnsi="Times New Roman" w:cs="Times New Roman"/>
          <w:sz w:val="24"/>
          <w:szCs w:val="24"/>
        </w:rPr>
      </w:pPr>
    </w:p>
    <w:p w14:paraId="3AEDA2DC" w14:textId="1E7DB1F3" w:rsidR="00501031" w:rsidRPr="006D3C51" w:rsidRDefault="00284595" w:rsidP="00781D53">
      <w:pPr>
        <w:spacing w:after="0" w:line="276" w:lineRule="auto"/>
        <w:jc w:val="both"/>
        <w:rPr>
          <w:rFonts w:ascii="Times New Roman" w:hAnsi="Times New Roman" w:cs="Times New Roman"/>
          <w:b/>
          <w:sz w:val="24"/>
          <w:szCs w:val="24"/>
        </w:rPr>
      </w:pPr>
      <w:bookmarkStart w:id="13" w:name="_Hlk83723784"/>
      <w:r>
        <w:rPr>
          <w:rFonts w:ascii="Times New Roman" w:hAnsi="Times New Roman" w:cs="Times New Roman"/>
          <w:b/>
          <w:sz w:val="24"/>
          <w:szCs w:val="24"/>
        </w:rPr>
        <w:t xml:space="preserve">4. El reconocimiento de nuevos requisitos durante el procedimiento de cambio registral de sexo: </w:t>
      </w:r>
      <w:r w:rsidRPr="00284595">
        <w:rPr>
          <w:rFonts w:ascii="Times New Roman" w:hAnsi="Times New Roman" w:cs="Times New Roman"/>
          <w:b/>
          <w:sz w:val="24"/>
          <w:szCs w:val="24"/>
        </w:rPr>
        <w:t>la necesidad de “rapidez, transparencia y accesibilidad”</w:t>
      </w:r>
      <w:r w:rsidR="00746F54">
        <w:rPr>
          <w:rFonts w:ascii="Times New Roman" w:hAnsi="Times New Roman" w:cs="Times New Roman"/>
          <w:b/>
          <w:sz w:val="24"/>
          <w:szCs w:val="24"/>
        </w:rPr>
        <w:t>.</w:t>
      </w:r>
    </w:p>
    <w:bookmarkEnd w:id="13"/>
    <w:p w14:paraId="179E0A04" w14:textId="77777777" w:rsidR="00284595" w:rsidRDefault="00284595" w:rsidP="00781D53">
      <w:pPr>
        <w:spacing w:after="0" w:line="276" w:lineRule="auto"/>
        <w:jc w:val="both"/>
        <w:rPr>
          <w:rFonts w:ascii="Times New Roman" w:hAnsi="Times New Roman" w:cs="Times New Roman"/>
          <w:sz w:val="24"/>
          <w:szCs w:val="24"/>
        </w:rPr>
      </w:pPr>
    </w:p>
    <w:p w14:paraId="6B1EF610" w14:textId="1F6F9B1A" w:rsidR="00267149" w:rsidRPr="006D3C51" w:rsidRDefault="00267149"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En los casos posteriores, el TEDH pareció “archivar” momentáneamente la jurisprudencia del caso </w:t>
      </w:r>
      <w:r w:rsidRPr="006D3C51">
        <w:rPr>
          <w:rFonts w:ascii="Times New Roman" w:hAnsi="Times New Roman" w:cs="Times New Roman"/>
          <w:i/>
          <w:sz w:val="24"/>
          <w:szCs w:val="24"/>
        </w:rPr>
        <w:t>A.P.</w:t>
      </w:r>
      <w:r w:rsidRPr="006D3C51">
        <w:rPr>
          <w:rFonts w:ascii="Times New Roman" w:hAnsi="Times New Roman" w:cs="Times New Roman"/>
          <w:sz w:val="24"/>
          <w:szCs w:val="24"/>
        </w:rPr>
        <w:t xml:space="preserve"> de 2017, aunque siguiera cumpliendo pasos en adelante para la construcción de estándares de protección de los derechos del colectivo transexual. </w:t>
      </w:r>
    </w:p>
    <w:p w14:paraId="5E38B761" w14:textId="1BBE8B14" w:rsidR="00267149" w:rsidRPr="006D3C51" w:rsidRDefault="00071B0E"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En </w:t>
      </w:r>
      <w:r w:rsidR="00715C4F" w:rsidRPr="006D3C51">
        <w:rPr>
          <w:rFonts w:ascii="Times New Roman" w:hAnsi="Times New Roman" w:cs="Times New Roman"/>
          <w:sz w:val="24"/>
          <w:szCs w:val="24"/>
        </w:rPr>
        <w:t xml:space="preserve">el caso resuelto con la sentencia de 11 de octubre de 2018, </w:t>
      </w:r>
      <w:r w:rsidR="00715C4F" w:rsidRPr="00781D53">
        <w:rPr>
          <w:rFonts w:ascii="Times New Roman" w:hAnsi="Times New Roman" w:cs="Times New Roman"/>
          <w:sz w:val="24"/>
          <w:szCs w:val="24"/>
        </w:rPr>
        <w:t xml:space="preserve">asunto </w:t>
      </w:r>
      <w:r w:rsidR="00715C4F" w:rsidRPr="00781D53">
        <w:rPr>
          <w:rFonts w:ascii="Times New Roman" w:hAnsi="Times New Roman" w:cs="Times New Roman"/>
          <w:i/>
          <w:sz w:val="24"/>
          <w:szCs w:val="24"/>
        </w:rPr>
        <w:t>S.V. c. Italia</w:t>
      </w:r>
      <w:r w:rsidR="00267149" w:rsidRPr="00781D53">
        <w:rPr>
          <w:rStyle w:val="Refdenotaalpie"/>
          <w:rFonts w:ascii="Times New Roman" w:hAnsi="Times New Roman" w:cs="Times New Roman"/>
          <w:sz w:val="24"/>
          <w:szCs w:val="24"/>
        </w:rPr>
        <w:footnoteReference w:id="43"/>
      </w:r>
      <w:r w:rsidR="004D59F0" w:rsidRPr="00781D53">
        <w:rPr>
          <w:rFonts w:ascii="Times New Roman" w:hAnsi="Times New Roman" w:cs="Times New Roman"/>
          <w:sz w:val="24"/>
          <w:szCs w:val="24"/>
        </w:rPr>
        <w:t>,</w:t>
      </w:r>
      <w:r w:rsidR="00715C4F" w:rsidRPr="006D3C51">
        <w:rPr>
          <w:rFonts w:ascii="Times New Roman" w:hAnsi="Times New Roman" w:cs="Times New Roman"/>
          <w:sz w:val="24"/>
          <w:szCs w:val="24"/>
        </w:rPr>
        <w:t xml:space="preserve"> </w:t>
      </w:r>
      <w:r w:rsidR="00267149" w:rsidRPr="006D3C51">
        <w:rPr>
          <w:rFonts w:ascii="Times New Roman" w:hAnsi="Times New Roman" w:cs="Times New Roman"/>
          <w:sz w:val="24"/>
          <w:szCs w:val="24"/>
        </w:rPr>
        <w:t xml:space="preserve">por ejemplo, añadió el elemento de la necesaria “rapidez” en la tutela de la persona transexual. Es decir: ya no es suficiente que los Estados prevean la posibilidad de que </w:t>
      </w:r>
      <w:r w:rsidR="00243B89" w:rsidRPr="006D3C51">
        <w:rPr>
          <w:rFonts w:ascii="Times New Roman" w:hAnsi="Times New Roman" w:cs="Times New Roman"/>
          <w:sz w:val="24"/>
          <w:szCs w:val="24"/>
        </w:rPr>
        <w:t xml:space="preserve">el individuo </w:t>
      </w:r>
      <w:r w:rsidR="00267149" w:rsidRPr="006D3C51">
        <w:rPr>
          <w:rFonts w:ascii="Times New Roman" w:hAnsi="Times New Roman" w:cs="Times New Roman"/>
          <w:sz w:val="24"/>
          <w:szCs w:val="24"/>
        </w:rPr>
        <w:t xml:space="preserve">pueda pedir el cambio </w:t>
      </w:r>
      <w:r w:rsidR="00243B89" w:rsidRPr="006D3C51">
        <w:rPr>
          <w:rFonts w:ascii="Times New Roman" w:hAnsi="Times New Roman" w:cs="Times New Roman"/>
          <w:sz w:val="24"/>
          <w:szCs w:val="24"/>
        </w:rPr>
        <w:t xml:space="preserve">registral </w:t>
      </w:r>
      <w:r w:rsidR="00267149" w:rsidRPr="006D3C51">
        <w:rPr>
          <w:rFonts w:ascii="Times New Roman" w:hAnsi="Times New Roman" w:cs="Times New Roman"/>
          <w:sz w:val="24"/>
          <w:szCs w:val="24"/>
        </w:rPr>
        <w:t xml:space="preserve">de sexo; también </w:t>
      </w:r>
      <w:r w:rsidR="00243B89" w:rsidRPr="006D3C51">
        <w:rPr>
          <w:rFonts w:ascii="Times New Roman" w:hAnsi="Times New Roman" w:cs="Times New Roman"/>
          <w:sz w:val="24"/>
          <w:szCs w:val="24"/>
        </w:rPr>
        <w:t xml:space="preserve">es fundamental, para no vulnerar el Convenio, </w:t>
      </w:r>
      <w:r w:rsidR="00267149" w:rsidRPr="006D3C51">
        <w:rPr>
          <w:rFonts w:ascii="Times New Roman" w:hAnsi="Times New Roman" w:cs="Times New Roman"/>
          <w:sz w:val="24"/>
          <w:szCs w:val="24"/>
        </w:rPr>
        <w:t xml:space="preserve">que estos procedimientos no dejen a los transexuales en una </w:t>
      </w:r>
      <w:r w:rsidR="00243B89" w:rsidRPr="006D3C51">
        <w:rPr>
          <w:rFonts w:ascii="Times New Roman" w:hAnsi="Times New Roman" w:cs="Times New Roman"/>
          <w:sz w:val="24"/>
          <w:szCs w:val="24"/>
        </w:rPr>
        <w:t>situación</w:t>
      </w:r>
      <w:r w:rsidR="00267149" w:rsidRPr="006D3C51">
        <w:rPr>
          <w:rFonts w:ascii="Times New Roman" w:hAnsi="Times New Roman" w:cs="Times New Roman"/>
          <w:sz w:val="24"/>
          <w:szCs w:val="24"/>
        </w:rPr>
        <w:t xml:space="preserve"> prolongada de sufrimiento. </w:t>
      </w:r>
    </w:p>
    <w:p w14:paraId="520F7F6C" w14:textId="6F2F9B6F" w:rsidR="00645817" w:rsidRPr="006D3C51" w:rsidRDefault="00243B89"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En efecto, en el caso de autos, </w:t>
      </w:r>
      <w:r w:rsidR="00634774" w:rsidRPr="006D3C51">
        <w:rPr>
          <w:rFonts w:ascii="Times New Roman" w:hAnsi="Times New Roman" w:cs="Times New Roman"/>
          <w:sz w:val="24"/>
          <w:szCs w:val="24"/>
        </w:rPr>
        <w:t xml:space="preserve">el TEDH llegó a la conclusión de que Italia vulneró el art. 8 CEDH porque no pudo probar </w:t>
      </w:r>
      <w:r w:rsidR="00645817" w:rsidRPr="006D3C51">
        <w:rPr>
          <w:rFonts w:ascii="Times New Roman" w:hAnsi="Times New Roman" w:cs="Times New Roman"/>
          <w:sz w:val="24"/>
          <w:szCs w:val="24"/>
        </w:rPr>
        <w:t>qué razones de interés público pudieron impedi</w:t>
      </w:r>
      <w:r w:rsidR="00415B4F" w:rsidRPr="006D3C51">
        <w:rPr>
          <w:rFonts w:ascii="Times New Roman" w:hAnsi="Times New Roman" w:cs="Times New Roman"/>
          <w:sz w:val="24"/>
          <w:szCs w:val="24"/>
        </w:rPr>
        <w:t xml:space="preserve">r </w:t>
      </w:r>
      <w:r w:rsidR="00645817" w:rsidRPr="006D3C51">
        <w:rPr>
          <w:rFonts w:ascii="Times New Roman" w:hAnsi="Times New Roman" w:cs="Times New Roman"/>
          <w:sz w:val="24"/>
          <w:szCs w:val="24"/>
        </w:rPr>
        <w:t>durante más de dos años y medio adaptar el nombre que figura</w:t>
      </w:r>
      <w:r w:rsidR="00634774" w:rsidRPr="006D3C51">
        <w:rPr>
          <w:rFonts w:ascii="Times New Roman" w:hAnsi="Times New Roman" w:cs="Times New Roman"/>
          <w:sz w:val="24"/>
          <w:szCs w:val="24"/>
        </w:rPr>
        <w:t>ba</w:t>
      </w:r>
      <w:r w:rsidR="00645817" w:rsidRPr="006D3C51">
        <w:rPr>
          <w:rFonts w:ascii="Times New Roman" w:hAnsi="Times New Roman" w:cs="Times New Roman"/>
          <w:sz w:val="24"/>
          <w:szCs w:val="24"/>
        </w:rPr>
        <w:t xml:space="preserve"> en los documentos oficiales de la demandante a la realidad de su situación social</w:t>
      </w:r>
      <w:r w:rsidR="00634774" w:rsidRPr="006D3C51">
        <w:rPr>
          <w:rFonts w:ascii="Times New Roman" w:hAnsi="Times New Roman" w:cs="Times New Roman"/>
          <w:sz w:val="24"/>
          <w:szCs w:val="24"/>
        </w:rPr>
        <w:t xml:space="preserve"> (</w:t>
      </w:r>
      <w:r w:rsidR="004D59F0" w:rsidRPr="006D3C51">
        <w:rPr>
          <w:rFonts w:ascii="Times New Roman" w:hAnsi="Times New Roman" w:cs="Times New Roman"/>
          <w:sz w:val="24"/>
          <w:szCs w:val="24"/>
        </w:rPr>
        <w:t>§</w:t>
      </w:r>
      <w:r w:rsidR="004D59F0">
        <w:rPr>
          <w:rFonts w:ascii="Times New Roman" w:hAnsi="Times New Roman" w:cs="Times New Roman"/>
          <w:sz w:val="24"/>
          <w:szCs w:val="24"/>
        </w:rPr>
        <w:t xml:space="preserve"> </w:t>
      </w:r>
      <w:r w:rsidR="00634774" w:rsidRPr="006D3C51">
        <w:rPr>
          <w:rFonts w:ascii="Times New Roman" w:hAnsi="Times New Roman" w:cs="Times New Roman"/>
          <w:sz w:val="24"/>
          <w:szCs w:val="24"/>
        </w:rPr>
        <w:t xml:space="preserve">71). </w:t>
      </w:r>
      <w:r w:rsidR="00EA6D82" w:rsidRPr="006D3C51">
        <w:rPr>
          <w:rFonts w:ascii="Times New Roman" w:hAnsi="Times New Roman" w:cs="Times New Roman"/>
          <w:sz w:val="24"/>
          <w:szCs w:val="24"/>
        </w:rPr>
        <w:t>Esta “</w:t>
      </w:r>
      <w:r w:rsidR="00645817" w:rsidRPr="006D3C51">
        <w:rPr>
          <w:rFonts w:ascii="Times New Roman" w:hAnsi="Times New Roman" w:cs="Times New Roman"/>
          <w:i/>
          <w:sz w:val="24"/>
          <w:szCs w:val="24"/>
        </w:rPr>
        <w:t xml:space="preserve">rigidez del proceso judicial para el reconocimiento de la identidad sexual de las personas transexuales </w:t>
      </w:r>
      <w:r w:rsidR="00EA6D82" w:rsidRPr="006D3C51">
        <w:rPr>
          <w:rFonts w:ascii="Times New Roman" w:hAnsi="Times New Roman" w:cs="Times New Roman"/>
          <w:i/>
          <w:sz w:val="24"/>
          <w:szCs w:val="24"/>
        </w:rPr>
        <w:t>[…]</w:t>
      </w:r>
      <w:r w:rsidR="00645817" w:rsidRPr="006D3C51">
        <w:rPr>
          <w:rFonts w:ascii="Times New Roman" w:hAnsi="Times New Roman" w:cs="Times New Roman"/>
          <w:i/>
          <w:sz w:val="24"/>
          <w:szCs w:val="24"/>
        </w:rPr>
        <w:t xml:space="preserve"> colocó </w:t>
      </w:r>
      <w:r w:rsidR="00645817" w:rsidRPr="006D3C51">
        <w:rPr>
          <w:rFonts w:ascii="Times New Roman" w:hAnsi="Times New Roman" w:cs="Times New Roman"/>
          <w:i/>
          <w:sz w:val="24"/>
          <w:szCs w:val="24"/>
        </w:rPr>
        <w:lastRenderedPageBreak/>
        <w:t>a la demandante por un tiempo irrazonable en una situación anormal que ocasionó sus inspirados sentimientos de vulnerabilidad, humillación y ansiedad</w:t>
      </w:r>
      <w:r w:rsidR="008A33CC" w:rsidRPr="006D3C51">
        <w:rPr>
          <w:rFonts w:ascii="Times New Roman" w:hAnsi="Times New Roman" w:cs="Times New Roman"/>
          <w:sz w:val="24"/>
          <w:szCs w:val="24"/>
        </w:rPr>
        <w:t>”</w:t>
      </w:r>
      <w:r w:rsidR="00645817" w:rsidRPr="006D3C51">
        <w:rPr>
          <w:rFonts w:ascii="Times New Roman" w:hAnsi="Times New Roman" w:cs="Times New Roman"/>
          <w:sz w:val="24"/>
          <w:szCs w:val="24"/>
        </w:rPr>
        <w:t xml:space="preserve"> (§ 7</w:t>
      </w:r>
      <w:r w:rsidR="00EA6D82" w:rsidRPr="006D3C51">
        <w:rPr>
          <w:rFonts w:ascii="Times New Roman" w:hAnsi="Times New Roman" w:cs="Times New Roman"/>
          <w:sz w:val="24"/>
          <w:szCs w:val="24"/>
        </w:rPr>
        <w:t>2</w:t>
      </w:r>
      <w:r w:rsidR="00645817" w:rsidRPr="006D3C51">
        <w:rPr>
          <w:rFonts w:ascii="Times New Roman" w:hAnsi="Times New Roman" w:cs="Times New Roman"/>
          <w:sz w:val="24"/>
          <w:szCs w:val="24"/>
        </w:rPr>
        <w:t>).</w:t>
      </w:r>
      <w:r w:rsidR="001047EB" w:rsidRPr="006D3C51">
        <w:rPr>
          <w:rFonts w:ascii="Times New Roman" w:hAnsi="Times New Roman" w:cs="Times New Roman"/>
          <w:sz w:val="24"/>
          <w:szCs w:val="24"/>
        </w:rPr>
        <w:t xml:space="preserve"> </w:t>
      </w:r>
    </w:p>
    <w:p w14:paraId="0F64E088" w14:textId="4D9BC3B1" w:rsidR="00645817" w:rsidRPr="006D3C51" w:rsidRDefault="001047EB"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El Tribunal Europeo </w:t>
      </w:r>
      <w:r w:rsidR="008E675C" w:rsidRPr="006D3C51">
        <w:rPr>
          <w:rFonts w:ascii="Times New Roman" w:hAnsi="Times New Roman" w:cs="Times New Roman"/>
          <w:sz w:val="24"/>
          <w:szCs w:val="24"/>
        </w:rPr>
        <w:t xml:space="preserve">aludió a que </w:t>
      </w:r>
      <w:r w:rsidR="00243B89" w:rsidRPr="006D3C51">
        <w:rPr>
          <w:rFonts w:ascii="Times New Roman" w:hAnsi="Times New Roman" w:cs="Times New Roman"/>
          <w:sz w:val="24"/>
          <w:szCs w:val="24"/>
        </w:rPr>
        <w:t xml:space="preserve">varios </w:t>
      </w:r>
      <w:r w:rsidR="008E675C" w:rsidRPr="006D3C51">
        <w:rPr>
          <w:rFonts w:ascii="Times New Roman" w:hAnsi="Times New Roman" w:cs="Times New Roman"/>
          <w:sz w:val="24"/>
          <w:szCs w:val="24"/>
        </w:rPr>
        <w:t>instrumentos de derecho supranacional recomenda</w:t>
      </w:r>
      <w:r w:rsidR="00560DEE">
        <w:rPr>
          <w:rFonts w:ascii="Times New Roman" w:hAnsi="Times New Roman" w:cs="Times New Roman"/>
          <w:sz w:val="24"/>
          <w:szCs w:val="24"/>
        </w:rPr>
        <w:t>ban</w:t>
      </w:r>
      <w:r w:rsidR="008E675C" w:rsidRPr="006D3C51">
        <w:rPr>
          <w:rFonts w:ascii="Times New Roman" w:hAnsi="Times New Roman" w:cs="Times New Roman"/>
          <w:sz w:val="24"/>
          <w:szCs w:val="24"/>
        </w:rPr>
        <w:t xml:space="preserve"> desde hace años que los E</w:t>
      </w:r>
      <w:r w:rsidR="00645817" w:rsidRPr="006D3C51">
        <w:rPr>
          <w:rFonts w:ascii="Times New Roman" w:hAnsi="Times New Roman" w:cs="Times New Roman"/>
          <w:sz w:val="24"/>
          <w:szCs w:val="24"/>
        </w:rPr>
        <w:t xml:space="preserve">stados </w:t>
      </w:r>
      <w:r w:rsidR="008E675C" w:rsidRPr="006D3C51">
        <w:rPr>
          <w:rFonts w:ascii="Times New Roman" w:hAnsi="Times New Roman" w:cs="Times New Roman"/>
          <w:sz w:val="24"/>
          <w:szCs w:val="24"/>
        </w:rPr>
        <w:t>predisp</w:t>
      </w:r>
      <w:r w:rsidR="00560DEE">
        <w:rPr>
          <w:rFonts w:ascii="Times New Roman" w:hAnsi="Times New Roman" w:cs="Times New Roman"/>
          <w:sz w:val="24"/>
          <w:szCs w:val="24"/>
        </w:rPr>
        <w:t>usieran</w:t>
      </w:r>
      <w:r w:rsidR="008E675C" w:rsidRPr="006D3C51">
        <w:rPr>
          <w:rFonts w:ascii="Times New Roman" w:hAnsi="Times New Roman" w:cs="Times New Roman"/>
          <w:sz w:val="24"/>
          <w:szCs w:val="24"/>
        </w:rPr>
        <w:t xml:space="preserve"> un sistema legislativo y administrativo que </w:t>
      </w:r>
      <w:r w:rsidR="00645817" w:rsidRPr="006D3C51">
        <w:rPr>
          <w:rFonts w:ascii="Times New Roman" w:hAnsi="Times New Roman" w:cs="Times New Roman"/>
          <w:sz w:val="24"/>
          <w:szCs w:val="24"/>
        </w:rPr>
        <w:t>permit</w:t>
      </w:r>
      <w:r w:rsidR="00560DEE">
        <w:rPr>
          <w:rFonts w:ascii="Times New Roman" w:hAnsi="Times New Roman" w:cs="Times New Roman"/>
          <w:sz w:val="24"/>
          <w:szCs w:val="24"/>
        </w:rPr>
        <w:t>iese</w:t>
      </w:r>
      <w:r w:rsidR="00645817" w:rsidRPr="006D3C51">
        <w:rPr>
          <w:rFonts w:ascii="Times New Roman" w:hAnsi="Times New Roman" w:cs="Times New Roman"/>
          <w:sz w:val="24"/>
          <w:szCs w:val="24"/>
        </w:rPr>
        <w:t xml:space="preserve"> el cambio de nombre y género en los documentos oficiales de manera rápida, transparente </w:t>
      </w:r>
      <w:r w:rsidR="008E675C" w:rsidRPr="006D3C51">
        <w:rPr>
          <w:rFonts w:ascii="Times New Roman" w:hAnsi="Times New Roman" w:cs="Times New Roman"/>
          <w:sz w:val="24"/>
          <w:szCs w:val="24"/>
        </w:rPr>
        <w:t>y</w:t>
      </w:r>
      <w:r w:rsidR="00645817" w:rsidRPr="006D3C51">
        <w:rPr>
          <w:rFonts w:ascii="Times New Roman" w:hAnsi="Times New Roman" w:cs="Times New Roman"/>
          <w:sz w:val="24"/>
          <w:szCs w:val="24"/>
        </w:rPr>
        <w:t xml:space="preserve"> accesible (</w:t>
      </w:r>
      <w:r w:rsidR="004D59F0" w:rsidRPr="006D3C51">
        <w:rPr>
          <w:rFonts w:ascii="Times New Roman" w:hAnsi="Times New Roman" w:cs="Times New Roman"/>
          <w:sz w:val="24"/>
          <w:szCs w:val="24"/>
        </w:rPr>
        <w:t>§</w:t>
      </w:r>
      <w:r w:rsidR="004D59F0">
        <w:rPr>
          <w:rFonts w:ascii="Times New Roman" w:hAnsi="Times New Roman" w:cs="Times New Roman"/>
          <w:sz w:val="24"/>
          <w:szCs w:val="24"/>
        </w:rPr>
        <w:t xml:space="preserve"> </w:t>
      </w:r>
      <w:r w:rsidR="008E675C" w:rsidRPr="006D3C51">
        <w:rPr>
          <w:rFonts w:ascii="Times New Roman" w:hAnsi="Times New Roman" w:cs="Times New Roman"/>
          <w:sz w:val="24"/>
          <w:szCs w:val="24"/>
        </w:rPr>
        <w:t>73</w:t>
      </w:r>
      <w:r w:rsidR="00645817" w:rsidRPr="006D3C51">
        <w:rPr>
          <w:rFonts w:ascii="Times New Roman" w:hAnsi="Times New Roman" w:cs="Times New Roman"/>
          <w:sz w:val="24"/>
          <w:szCs w:val="24"/>
        </w:rPr>
        <w:t>).</w:t>
      </w:r>
    </w:p>
    <w:p w14:paraId="4872407F" w14:textId="6C7FBB8E" w:rsidR="001A0804" w:rsidRPr="006D3C51" w:rsidRDefault="008143F7"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En la senten</w:t>
      </w:r>
      <w:r w:rsidRPr="00781D53">
        <w:rPr>
          <w:rFonts w:ascii="Times New Roman" w:hAnsi="Times New Roman" w:cs="Times New Roman"/>
          <w:sz w:val="24"/>
          <w:szCs w:val="24"/>
        </w:rPr>
        <w:t xml:space="preserve">cia de 17 de enero de 2019, asunto </w:t>
      </w:r>
      <w:r w:rsidRPr="00781D53">
        <w:rPr>
          <w:rFonts w:ascii="Times New Roman" w:hAnsi="Times New Roman" w:cs="Times New Roman"/>
          <w:i/>
          <w:sz w:val="24"/>
          <w:szCs w:val="24"/>
        </w:rPr>
        <w:t>X. c. la ex República Yugoslava de Macedonia</w:t>
      </w:r>
      <w:r w:rsidR="0012429C" w:rsidRPr="00781D53">
        <w:rPr>
          <w:rStyle w:val="Refdenotaalpie"/>
          <w:rFonts w:ascii="Times New Roman" w:hAnsi="Times New Roman" w:cs="Times New Roman"/>
          <w:sz w:val="24"/>
          <w:szCs w:val="24"/>
        </w:rPr>
        <w:footnoteReference w:id="44"/>
      </w:r>
      <w:r w:rsidR="004D59F0" w:rsidRPr="00781D53">
        <w:rPr>
          <w:rFonts w:ascii="Times New Roman" w:hAnsi="Times New Roman" w:cs="Times New Roman"/>
          <w:sz w:val="24"/>
          <w:szCs w:val="24"/>
        </w:rPr>
        <w:t>,</w:t>
      </w:r>
      <w:r w:rsidRPr="006D3C51">
        <w:rPr>
          <w:rFonts w:ascii="Times New Roman" w:hAnsi="Times New Roman" w:cs="Times New Roman"/>
          <w:sz w:val="24"/>
          <w:szCs w:val="24"/>
        </w:rPr>
        <w:t xml:space="preserve"> la Corte de Estrasburgo </w:t>
      </w:r>
      <w:r w:rsidR="0012429C" w:rsidRPr="006D3C51">
        <w:rPr>
          <w:rFonts w:ascii="Times New Roman" w:hAnsi="Times New Roman" w:cs="Times New Roman"/>
          <w:sz w:val="24"/>
          <w:szCs w:val="24"/>
        </w:rPr>
        <w:t>argumentó, explicando detalladamente los hechos (67-68), que la legislación de</w:t>
      </w:r>
      <w:r w:rsidR="00735AB1" w:rsidRPr="006D3C51">
        <w:rPr>
          <w:rFonts w:ascii="Times New Roman" w:hAnsi="Times New Roman" w:cs="Times New Roman"/>
          <w:sz w:val="24"/>
          <w:szCs w:val="24"/>
        </w:rPr>
        <w:t xml:space="preserve">l Estado demandado </w:t>
      </w:r>
      <w:r w:rsidR="00A4543C" w:rsidRPr="006D3C51">
        <w:rPr>
          <w:rFonts w:ascii="Times New Roman" w:hAnsi="Times New Roman" w:cs="Times New Roman"/>
          <w:sz w:val="24"/>
          <w:szCs w:val="24"/>
        </w:rPr>
        <w:t>presenta</w:t>
      </w:r>
      <w:r w:rsidR="0012429C" w:rsidRPr="006D3C51">
        <w:rPr>
          <w:rFonts w:ascii="Times New Roman" w:hAnsi="Times New Roman" w:cs="Times New Roman"/>
          <w:sz w:val="24"/>
          <w:szCs w:val="24"/>
        </w:rPr>
        <w:t>ba</w:t>
      </w:r>
      <w:r w:rsidR="00A4543C" w:rsidRPr="006D3C51">
        <w:rPr>
          <w:rFonts w:ascii="Times New Roman" w:hAnsi="Times New Roman" w:cs="Times New Roman"/>
          <w:sz w:val="24"/>
          <w:szCs w:val="24"/>
        </w:rPr>
        <w:t xml:space="preserve"> lagunas legislativas y graves deficiencias</w:t>
      </w:r>
      <w:r w:rsidR="001A0804" w:rsidRPr="006D3C51">
        <w:rPr>
          <w:rFonts w:ascii="Times New Roman" w:hAnsi="Times New Roman" w:cs="Times New Roman"/>
          <w:sz w:val="24"/>
          <w:szCs w:val="24"/>
        </w:rPr>
        <w:t xml:space="preserve"> (por ejemplo, respecto de la</w:t>
      </w:r>
      <w:r w:rsidR="00A4543C" w:rsidRPr="006D3C51">
        <w:rPr>
          <w:rFonts w:ascii="Times New Roman" w:hAnsi="Times New Roman" w:cs="Times New Roman"/>
          <w:sz w:val="24"/>
          <w:szCs w:val="24"/>
        </w:rPr>
        <w:t xml:space="preserve"> </w:t>
      </w:r>
      <w:r w:rsidR="001A0804" w:rsidRPr="006D3C51">
        <w:rPr>
          <w:rFonts w:ascii="Times New Roman" w:hAnsi="Times New Roman" w:cs="Times New Roman"/>
          <w:sz w:val="24"/>
          <w:szCs w:val="24"/>
        </w:rPr>
        <w:t>existencia y naturaleza de los requisitos que deba cumplir un solicitante para modificar su identidad sexual en los registros oficiales) “</w:t>
      </w:r>
      <w:r w:rsidR="00A4543C" w:rsidRPr="006D3C51">
        <w:rPr>
          <w:rFonts w:ascii="Times New Roman" w:hAnsi="Times New Roman" w:cs="Times New Roman"/>
          <w:i/>
          <w:sz w:val="24"/>
          <w:szCs w:val="24"/>
        </w:rPr>
        <w:t xml:space="preserve">que dejan al demandante en una situación de angustiosa incertidumbre frente a su vida privada y </w:t>
      </w:r>
      <w:r w:rsidR="001A0804" w:rsidRPr="006D3C51">
        <w:rPr>
          <w:rFonts w:ascii="Times New Roman" w:hAnsi="Times New Roman" w:cs="Times New Roman"/>
          <w:i/>
          <w:sz w:val="24"/>
          <w:szCs w:val="24"/>
        </w:rPr>
        <w:t>a</w:t>
      </w:r>
      <w:r w:rsidR="00A4543C" w:rsidRPr="006D3C51">
        <w:rPr>
          <w:rFonts w:ascii="Times New Roman" w:hAnsi="Times New Roman" w:cs="Times New Roman"/>
          <w:i/>
          <w:sz w:val="24"/>
          <w:szCs w:val="24"/>
        </w:rPr>
        <w:t>l reconocimiento de su identidad</w:t>
      </w:r>
      <w:r w:rsidR="001A0804" w:rsidRPr="006D3C51">
        <w:rPr>
          <w:rFonts w:ascii="Times New Roman" w:hAnsi="Times New Roman" w:cs="Times New Roman"/>
          <w:sz w:val="24"/>
          <w:szCs w:val="24"/>
        </w:rPr>
        <w:t>” (</w:t>
      </w:r>
      <w:r w:rsidR="004D59F0" w:rsidRPr="006D3C51">
        <w:rPr>
          <w:rFonts w:ascii="Times New Roman" w:hAnsi="Times New Roman" w:cs="Times New Roman"/>
          <w:sz w:val="24"/>
          <w:szCs w:val="24"/>
        </w:rPr>
        <w:t>§</w:t>
      </w:r>
      <w:r w:rsidR="004D59F0">
        <w:rPr>
          <w:rFonts w:ascii="Times New Roman" w:hAnsi="Times New Roman" w:cs="Times New Roman"/>
          <w:sz w:val="24"/>
          <w:szCs w:val="24"/>
        </w:rPr>
        <w:t xml:space="preserve"> </w:t>
      </w:r>
      <w:r w:rsidR="001A0804" w:rsidRPr="006D3C51">
        <w:rPr>
          <w:rFonts w:ascii="Times New Roman" w:hAnsi="Times New Roman" w:cs="Times New Roman"/>
          <w:sz w:val="24"/>
          <w:szCs w:val="24"/>
        </w:rPr>
        <w:t>70)</w:t>
      </w:r>
      <w:r w:rsidR="00A4543C" w:rsidRPr="006D3C51">
        <w:rPr>
          <w:rFonts w:ascii="Times New Roman" w:hAnsi="Times New Roman" w:cs="Times New Roman"/>
          <w:sz w:val="24"/>
          <w:szCs w:val="24"/>
        </w:rPr>
        <w:t>.</w:t>
      </w:r>
      <w:r w:rsidR="001A0804" w:rsidRPr="006D3C51">
        <w:rPr>
          <w:rFonts w:ascii="Times New Roman" w:hAnsi="Times New Roman" w:cs="Times New Roman"/>
          <w:sz w:val="24"/>
          <w:szCs w:val="24"/>
        </w:rPr>
        <w:t xml:space="preserve"> </w:t>
      </w:r>
    </w:p>
    <w:p w14:paraId="045849D0" w14:textId="299122DC" w:rsidR="001A0804" w:rsidRPr="006D3C51" w:rsidRDefault="001A0804"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Asimismo, esta situación de incertidumbre perduraba</w:t>
      </w:r>
      <w:r w:rsidR="0012429C" w:rsidRPr="006D3C51">
        <w:rPr>
          <w:rFonts w:ascii="Times New Roman" w:hAnsi="Times New Roman" w:cs="Times New Roman"/>
          <w:sz w:val="24"/>
          <w:szCs w:val="24"/>
        </w:rPr>
        <w:t>, para el demandante,</w:t>
      </w:r>
      <w:r w:rsidRPr="006D3C51">
        <w:rPr>
          <w:rFonts w:ascii="Times New Roman" w:hAnsi="Times New Roman" w:cs="Times New Roman"/>
          <w:sz w:val="24"/>
          <w:szCs w:val="24"/>
        </w:rPr>
        <w:t xml:space="preserve"> desde hace más de seis años (y no se había resuelto aún en el momento de la decisión del TEDH), circunstancia que estaba provocando </w:t>
      </w:r>
      <w:r w:rsidR="00986528" w:rsidRPr="006D3C51">
        <w:rPr>
          <w:rFonts w:ascii="Times New Roman" w:hAnsi="Times New Roman" w:cs="Times New Roman"/>
          <w:sz w:val="24"/>
          <w:szCs w:val="24"/>
        </w:rPr>
        <w:t xml:space="preserve">consecuencias negativas a largo plazo para </w:t>
      </w:r>
      <w:r w:rsidRPr="006D3C51">
        <w:rPr>
          <w:rFonts w:ascii="Times New Roman" w:hAnsi="Times New Roman" w:cs="Times New Roman"/>
          <w:sz w:val="24"/>
          <w:szCs w:val="24"/>
        </w:rPr>
        <w:t>la</w:t>
      </w:r>
      <w:r w:rsidR="00986528" w:rsidRPr="006D3C51">
        <w:rPr>
          <w:rFonts w:ascii="Times New Roman" w:hAnsi="Times New Roman" w:cs="Times New Roman"/>
          <w:sz w:val="24"/>
          <w:szCs w:val="24"/>
        </w:rPr>
        <w:t xml:space="preserve"> salud mental</w:t>
      </w:r>
      <w:r w:rsidRPr="006D3C51">
        <w:rPr>
          <w:rFonts w:ascii="Times New Roman" w:hAnsi="Times New Roman" w:cs="Times New Roman"/>
          <w:sz w:val="24"/>
          <w:szCs w:val="24"/>
        </w:rPr>
        <w:t xml:space="preserve"> del </w:t>
      </w:r>
      <w:r w:rsidR="0012429C" w:rsidRPr="006D3C51">
        <w:rPr>
          <w:rFonts w:ascii="Times New Roman" w:hAnsi="Times New Roman" w:cs="Times New Roman"/>
          <w:sz w:val="24"/>
          <w:szCs w:val="24"/>
        </w:rPr>
        <w:t>sujeto</w:t>
      </w:r>
      <w:r w:rsidR="00986528" w:rsidRPr="006D3C51">
        <w:rPr>
          <w:rFonts w:ascii="Times New Roman" w:hAnsi="Times New Roman" w:cs="Times New Roman"/>
          <w:sz w:val="24"/>
          <w:szCs w:val="24"/>
        </w:rPr>
        <w:t xml:space="preserve">. </w:t>
      </w:r>
    </w:p>
    <w:p w14:paraId="147D26B0" w14:textId="51F19BE9" w:rsidR="00BB04FD" w:rsidRPr="006D3C51" w:rsidRDefault="001A0804"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Todo lo dicho,</w:t>
      </w:r>
      <w:r w:rsidR="00986528" w:rsidRPr="006D3C51">
        <w:rPr>
          <w:rFonts w:ascii="Times New Roman" w:hAnsi="Times New Roman" w:cs="Times New Roman"/>
          <w:sz w:val="24"/>
          <w:szCs w:val="24"/>
        </w:rPr>
        <w:t xml:space="preserve"> permiti</w:t>
      </w:r>
      <w:r w:rsidRPr="006D3C51">
        <w:rPr>
          <w:rFonts w:ascii="Times New Roman" w:hAnsi="Times New Roman" w:cs="Times New Roman"/>
          <w:sz w:val="24"/>
          <w:szCs w:val="24"/>
        </w:rPr>
        <w:t>ó</w:t>
      </w:r>
      <w:r w:rsidR="00986528" w:rsidRPr="006D3C51">
        <w:rPr>
          <w:rFonts w:ascii="Times New Roman" w:hAnsi="Times New Roman" w:cs="Times New Roman"/>
          <w:sz w:val="24"/>
          <w:szCs w:val="24"/>
        </w:rPr>
        <w:t xml:space="preserve"> a</w:t>
      </w:r>
      <w:r w:rsidRPr="006D3C51">
        <w:rPr>
          <w:rFonts w:ascii="Times New Roman" w:hAnsi="Times New Roman" w:cs="Times New Roman"/>
          <w:sz w:val="24"/>
          <w:szCs w:val="24"/>
        </w:rPr>
        <w:t>l TEDH</w:t>
      </w:r>
      <w:r w:rsidR="00986528" w:rsidRPr="006D3C51">
        <w:rPr>
          <w:rFonts w:ascii="Times New Roman" w:hAnsi="Times New Roman" w:cs="Times New Roman"/>
          <w:sz w:val="24"/>
          <w:szCs w:val="24"/>
        </w:rPr>
        <w:t xml:space="preserve"> concluir que </w:t>
      </w:r>
      <w:r w:rsidRPr="006D3C51">
        <w:rPr>
          <w:rFonts w:ascii="Times New Roman" w:hAnsi="Times New Roman" w:cs="Times New Roman"/>
          <w:sz w:val="24"/>
          <w:szCs w:val="24"/>
        </w:rPr>
        <w:t>“</w:t>
      </w:r>
      <w:r w:rsidR="00986528" w:rsidRPr="006D3C51">
        <w:rPr>
          <w:rFonts w:ascii="Times New Roman" w:hAnsi="Times New Roman" w:cs="Times New Roman"/>
          <w:i/>
          <w:sz w:val="24"/>
          <w:szCs w:val="24"/>
        </w:rPr>
        <w:t xml:space="preserve">el marco legal actual en el Estado demandado no provee </w:t>
      </w:r>
      <w:r w:rsidRPr="006D3C51">
        <w:rPr>
          <w:rFonts w:ascii="Times New Roman" w:hAnsi="Times New Roman" w:cs="Times New Roman"/>
          <w:i/>
          <w:sz w:val="24"/>
          <w:szCs w:val="24"/>
        </w:rPr>
        <w:t>«</w:t>
      </w:r>
      <w:r w:rsidR="00986528" w:rsidRPr="006D3C51">
        <w:rPr>
          <w:rFonts w:ascii="Times New Roman" w:hAnsi="Times New Roman" w:cs="Times New Roman"/>
          <w:i/>
          <w:sz w:val="24"/>
          <w:szCs w:val="24"/>
        </w:rPr>
        <w:t>procedimientos rápidos, transparentes y accesibles</w:t>
      </w:r>
      <w:r w:rsidRPr="006D3C51">
        <w:rPr>
          <w:rFonts w:ascii="Times New Roman" w:hAnsi="Times New Roman" w:cs="Times New Roman"/>
          <w:i/>
          <w:sz w:val="24"/>
          <w:szCs w:val="24"/>
        </w:rPr>
        <w:t>»</w:t>
      </w:r>
      <w:r w:rsidR="00986528" w:rsidRPr="006D3C51">
        <w:rPr>
          <w:rFonts w:ascii="Times New Roman" w:hAnsi="Times New Roman" w:cs="Times New Roman"/>
          <w:i/>
          <w:sz w:val="24"/>
          <w:szCs w:val="24"/>
        </w:rPr>
        <w:t xml:space="preserve"> para cambiar </w:t>
      </w:r>
      <w:r w:rsidRPr="006D3C51">
        <w:rPr>
          <w:rFonts w:ascii="Times New Roman" w:hAnsi="Times New Roman" w:cs="Times New Roman"/>
          <w:i/>
          <w:sz w:val="24"/>
          <w:szCs w:val="24"/>
        </w:rPr>
        <w:t xml:space="preserve">el sexo </w:t>
      </w:r>
      <w:r w:rsidR="00986528" w:rsidRPr="006D3C51">
        <w:rPr>
          <w:rFonts w:ascii="Times New Roman" w:hAnsi="Times New Roman" w:cs="Times New Roman"/>
          <w:i/>
          <w:sz w:val="24"/>
          <w:szCs w:val="24"/>
        </w:rPr>
        <w:t>en los certificados de nacimiento de las personas transgénero</w:t>
      </w:r>
      <w:r w:rsidRPr="006D3C51">
        <w:rPr>
          <w:rFonts w:ascii="Times New Roman" w:hAnsi="Times New Roman" w:cs="Times New Roman"/>
          <w:sz w:val="24"/>
          <w:szCs w:val="24"/>
        </w:rPr>
        <w:t>” (</w:t>
      </w:r>
      <w:r w:rsidR="004D59F0" w:rsidRPr="006D3C51">
        <w:rPr>
          <w:rFonts w:ascii="Times New Roman" w:hAnsi="Times New Roman" w:cs="Times New Roman"/>
          <w:sz w:val="24"/>
          <w:szCs w:val="24"/>
        </w:rPr>
        <w:t>§</w:t>
      </w:r>
      <w:r w:rsidR="004D59F0">
        <w:rPr>
          <w:rFonts w:ascii="Times New Roman" w:hAnsi="Times New Roman" w:cs="Times New Roman"/>
          <w:sz w:val="24"/>
          <w:szCs w:val="24"/>
        </w:rPr>
        <w:t xml:space="preserve"> </w:t>
      </w:r>
      <w:r w:rsidRPr="006D3C51">
        <w:rPr>
          <w:rFonts w:ascii="Times New Roman" w:hAnsi="Times New Roman" w:cs="Times New Roman"/>
          <w:sz w:val="24"/>
          <w:szCs w:val="24"/>
        </w:rPr>
        <w:t>70)</w:t>
      </w:r>
      <w:r w:rsidR="0012429C" w:rsidRPr="006D3C51">
        <w:rPr>
          <w:rFonts w:ascii="Times New Roman" w:hAnsi="Times New Roman" w:cs="Times New Roman"/>
          <w:sz w:val="24"/>
          <w:szCs w:val="24"/>
        </w:rPr>
        <w:t>; l</w:t>
      </w:r>
      <w:r w:rsidR="00BB04FD" w:rsidRPr="006D3C51">
        <w:rPr>
          <w:rFonts w:ascii="Times New Roman" w:hAnsi="Times New Roman" w:cs="Times New Roman"/>
          <w:sz w:val="24"/>
          <w:szCs w:val="24"/>
        </w:rPr>
        <w:t>a falta de un marco normativo que garantizara el derecho al respeto de la vida privada del demandante</w:t>
      </w:r>
      <w:r w:rsidR="00706DBA" w:rsidRPr="006D3C51">
        <w:rPr>
          <w:rFonts w:ascii="Times New Roman" w:hAnsi="Times New Roman" w:cs="Times New Roman"/>
          <w:sz w:val="24"/>
          <w:szCs w:val="24"/>
        </w:rPr>
        <w:t xml:space="preserve"> conllevó la violación del art. 8 CEDH. </w:t>
      </w:r>
    </w:p>
    <w:p w14:paraId="4450477A" w14:textId="0C87F77B" w:rsidR="002640B3" w:rsidRPr="006D3C51" w:rsidRDefault="002640B3"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Como se ha aludido, los dos casos ahora analizados, a</w:t>
      </w:r>
      <w:r w:rsidR="004B41E3" w:rsidRPr="006D3C51">
        <w:rPr>
          <w:rFonts w:ascii="Times New Roman" w:hAnsi="Times New Roman" w:cs="Times New Roman"/>
          <w:sz w:val="24"/>
          <w:szCs w:val="24"/>
        </w:rPr>
        <w:t xml:space="preserve">unque tanto </w:t>
      </w:r>
      <w:r w:rsidR="00A1740E" w:rsidRPr="006D3C51">
        <w:rPr>
          <w:rFonts w:ascii="Times New Roman" w:hAnsi="Times New Roman" w:cs="Times New Roman"/>
          <w:sz w:val="24"/>
          <w:szCs w:val="24"/>
        </w:rPr>
        <w:t>los demandantes</w:t>
      </w:r>
      <w:r w:rsidR="004B41E3" w:rsidRPr="006D3C51">
        <w:rPr>
          <w:rFonts w:ascii="Times New Roman" w:hAnsi="Times New Roman" w:cs="Times New Roman"/>
          <w:sz w:val="24"/>
          <w:szCs w:val="24"/>
        </w:rPr>
        <w:t xml:space="preserve"> como las terceras partes interviniente h</w:t>
      </w:r>
      <w:r w:rsidRPr="006D3C51">
        <w:rPr>
          <w:rFonts w:ascii="Times New Roman" w:hAnsi="Times New Roman" w:cs="Times New Roman"/>
          <w:sz w:val="24"/>
          <w:szCs w:val="24"/>
        </w:rPr>
        <w:t>ubieran</w:t>
      </w:r>
      <w:r w:rsidR="004B41E3" w:rsidRPr="006D3C51">
        <w:rPr>
          <w:rFonts w:ascii="Times New Roman" w:hAnsi="Times New Roman" w:cs="Times New Roman"/>
          <w:sz w:val="24"/>
          <w:szCs w:val="24"/>
        </w:rPr>
        <w:t xml:space="preserve"> citado el caso A.P. 2017, el TEDH solo </w:t>
      </w:r>
      <w:r w:rsidRPr="006D3C51">
        <w:rPr>
          <w:rFonts w:ascii="Times New Roman" w:hAnsi="Times New Roman" w:cs="Times New Roman"/>
          <w:sz w:val="24"/>
          <w:szCs w:val="24"/>
        </w:rPr>
        <w:t>recordó (y aplicó) la doctrina sentada en</w:t>
      </w:r>
      <w:r w:rsidR="004B41E3" w:rsidRPr="006D3C51">
        <w:rPr>
          <w:rFonts w:ascii="Times New Roman" w:hAnsi="Times New Roman" w:cs="Times New Roman"/>
          <w:sz w:val="24"/>
          <w:szCs w:val="24"/>
        </w:rPr>
        <w:t xml:space="preserve"> </w:t>
      </w:r>
      <w:proofErr w:type="spellStart"/>
      <w:r w:rsidR="004B41E3" w:rsidRPr="006D3C51">
        <w:rPr>
          <w:rFonts w:ascii="Times New Roman" w:hAnsi="Times New Roman" w:cs="Times New Roman"/>
          <w:i/>
          <w:sz w:val="24"/>
          <w:szCs w:val="24"/>
        </w:rPr>
        <w:t>Hamalainen</w:t>
      </w:r>
      <w:proofErr w:type="spellEnd"/>
      <w:r w:rsidR="004B41E3" w:rsidRPr="006D3C51">
        <w:rPr>
          <w:rFonts w:ascii="Times New Roman" w:hAnsi="Times New Roman" w:cs="Times New Roman"/>
          <w:sz w:val="24"/>
          <w:szCs w:val="24"/>
        </w:rPr>
        <w:t xml:space="preserve"> </w:t>
      </w:r>
      <w:r w:rsidRPr="006D3C51">
        <w:rPr>
          <w:rFonts w:ascii="Times New Roman" w:hAnsi="Times New Roman" w:cs="Times New Roman"/>
          <w:sz w:val="24"/>
          <w:szCs w:val="24"/>
        </w:rPr>
        <w:t xml:space="preserve">de </w:t>
      </w:r>
      <w:r w:rsidR="004B41E3" w:rsidRPr="006D3C51">
        <w:rPr>
          <w:rFonts w:ascii="Times New Roman" w:hAnsi="Times New Roman" w:cs="Times New Roman"/>
          <w:sz w:val="24"/>
          <w:szCs w:val="24"/>
        </w:rPr>
        <w:t xml:space="preserve">2014. </w:t>
      </w:r>
      <w:r w:rsidRPr="006D3C51">
        <w:rPr>
          <w:rFonts w:ascii="Times New Roman" w:hAnsi="Times New Roman" w:cs="Times New Roman"/>
          <w:sz w:val="24"/>
          <w:szCs w:val="24"/>
        </w:rPr>
        <w:t xml:space="preserve">Es más: en la sentencia de 2019, el demandante </w:t>
      </w:r>
      <w:r w:rsidR="004B41E3" w:rsidRPr="006D3C51">
        <w:rPr>
          <w:rFonts w:ascii="Times New Roman" w:hAnsi="Times New Roman" w:cs="Times New Roman"/>
          <w:sz w:val="24"/>
          <w:szCs w:val="24"/>
        </w:rPr>
        <w:t>argumentó que había sido obligado a someterse a una cirugía completa de reasignación de género para cambiar el marcador de sexo en el registro de nacimiento</w:t>
      </w:r>
      <w:r w:rsidR="00723072" w:rsidRPr="006D3C51">
        <w:rPr>
          <w:rFonts w:ascii="Times New Roman" w:hAnsi="Times New Roman" w:cs="Times New Roman"/>
          <w:sz w:val="24"/>
          <w:szCs w:val="24"/>
        </w:rPr>
        <w:t>, aunque, en el momento de la resolución del TEDH, todavía no la hubiera llevado a cabo</w:t>
      </w:r>
      <w:r w:rsidRPr="006D3C51">
        <w:rPr>
          <w:rFonts w:ascii="Times New Roman" w:hAnsi="Times New Roman" w:cs="Times New Roman"/>
          <w:sz w:val="24"/>
          <w:szCs w:val="24"/>
        </w:rPr>
        <w:t xml:space="preserve"> (</w:t>
      </w:r>
      <w:r w:rsidR="004D59F0" w:rsidRPr="006D3C51">
        <w:rPr>
          <w:rFonts w:ascii="Times New Roman" w:hAnsi="Times New Roman" w:cs="Times New Roman"/>
          <w:sz w:val="24"/>
          <w:szCs w:val="24"/>
        </w:rPr>
        <w:t>§</w:t>
      </w:r>
      <w:r w:rsidR="004D59F0">
        <w:rPr>
          <w:rFonts w:ascii="Times New Roman" w:hAnsi="Times New Roman" w:cs="Times New Roman"/>
          <w:sz w:val="24"/>
          <w:szCs w:val="24"/>
        </w:rPr>
        <w:t xml:space="preserve"> </w:t>
      </w:r>
      <w:r w:rsidRPr="006D3C51">
        <w:rPr>
          <w:rFonts w:ascii="Times New Roman" w:hAnsi="Times New Roman" w:cs="Times New Roman"/>
          <w:sz w:val="24"/>
          <w:szCs w:val="24"/>
        </w:rPr>
        <w:t>69)</w:t>
      </w:r>
      <w:r w:rsidR="004B41E3" w:rsidRPr="006D3C51">
        <w:rPr>
          <w:rFonts w:ascii="Times New Roman" w:hAnsi="Times New Roman" w:cs="Times New Roman"/>
          <w:sz w:val="24"/>
          <w:szCs w:val="24"/>
        </w:rPr>
        <w:t xml:space="preserve">. </w:t>
      </w:r>
    </w:p>
    <w:p w14:paraId="4C49E47E" w14:textId="633EF57B" w:rsidR="00A1740E" w:rsidRPr="006D3C51" w:rsidRDefault="00A1740E"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Puede entenderse que el TEDH, en la resolución del caso, no pudiera declarar la vulneración del derecho a la integridad física de los demandantes, dado que todavía no se había sometido a ninguna intervención quirúrgica en contra de su voluntad. No obstante, no puede negarse que estos asuntos habrían podido servir para que el Tribunal Europeo volviera a citar sus argumentos en contra de la imposición de tratamientos médicos (quirúrgicos, pero también de otro tipo) por parte de los Estados del Consejo de Europa para autorizar el cambio de sexo registral a las personas transexuales. Todo ello, además de consolidad un estándar mínimo esencial para la protección d ellos derechos de las personas transexuales, resultaba casi un deber, en consideración de la decisión tomada en 2018 por la OMS de eliminar el transexualismo del listado de enfermedades.  </w:t>
      </w:r>
    </w:p>
    <w:p w14:paraId="2BFEC57B" w14:textId="47C0A2EE" w:rsidR="00AC02FE" w:rsidRPr="006D3C51" w:rsidRDefault="00A1740E"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Sin embargo, el TEDH prefirió</w:t>
      </w:r>
      <w:r w:rsidR="00AC02FE" w:rsidRPr="006D3C51">
        <w:rPr>
          <w:rFonts w:ascii="Times New Roman" w:hAnsi="Times New Roman" w:cs="Times New Roman"/>
          <w:sz w:val="24"/>
          <w:szCs w:val="24"/>
        </w:rPr>
        <w:t xml:space="preserve"> no volver a entrar en ese tema tan </w:t>
      </w:r>
      <w:r w:rsidRPr="006D3C51">
        <w:rPr>
          <w:rFonts w:ascii="Times New Roman" w:hAnsi="Times New Roman" w:cs="Times New Roman"/>
          <w:sz w:val="24"/>
          <w:szCs w:val="24"/>
        </w:rPr>
        <w:t>controvertido</w:t>
      </w:r>
      <w:r w:rsidR="00AC02FE" w:rsidRPr="006D3C51">
        <w:rPr>
          <w:rFonts w:ascii="Times New Roman" w:hAnsi="Times New Roman" w:cs="Times New Roman"/>
          <w:sz w:val="24"/>
          <w:szCs w:val="24"/>
        </w:rPr>
        <w:t>, si para declarar la violación del Convenio y proteger a la persona transexual e</w:t>
      </w:r>
      <w:r w:rsidRPr="006D3C51">
        <w:rPr>
          <w:rFonts w:ascii="Times New Roman" w:hAnsi="Times New Roman" w:cs="Times New Roman"/>
          <w:sz w:val="24"/>
          <w:szCs w:val="24"/>
        </w:rPr>
        <w:t>ra</w:t>
      </w:r>
      <w:r w:rsidR="00AC02FE" w:rsidRPr="006D3C51">
        <w:rPr>
          <w:rFonts w:ascii="Times New Roman" w:hAnsi="Times New Roman" w:cs="Times New Roman"/>
          <w:sz w:val="24"/>
          <w:szCs w:val="24"/>
        </w:rPr>
        <w:t xml:space="preserve"> suficiente </w:t>
      </w:r>
      <w:r w:rsidRPr="006D3C51">
        <w:rPr>
          <w:rFonts w:ascii="Times New Roman" w:hAnsi="Times New Roman" w:cs="Times New Roman"/>
          <w:sz w:val="24"/>
          <w:szCs w:val="24"/>
        </w:rPr>
        <w:t>centrarse en otros elementos</w:t>
      </w:r>
      <w:r w:rsidR="00AC02FE" w:rsidRPr="006D3C51">
        <w:rPr>
          <w:rFonts w:ascii="Times New Roman" w:hAnsi="Times New Roman" w:cs="Times New Roman"/>
          <w:sz w:val="24"/>
          <w:szCs w:val="24"/>
        </w:rPr>
        <w:t xml:space="preserve">. </w:t>
      </w:r>
      <w:r w:rsidR="007C4540" w:rsidRPr="006D3C51">
        <w:rPr>
          <w:rFonts w:ascii="Times New Roman" w:hAnsi="Times New Roman" w:cs="Times New Roman"/>
          <w:sz w:val="24"/>
          <w:szCs w:val="24"/>
        </w:rPr>
        <w:t xml:space="preserve">Como </w:t>
      </w:r>
      <w:r w:rsidRPr="006D3C51">
        <w:rPr>
          <w:rFonts w:ascii="Times New Roman" w:hAnsi="Times New Roman" w:cs="Times New Roman"/>
          <w:sz w:val="24"/>
          <w:szCs w:val="24"/>
        </w:rPr>
        <w:t>de costumbre,</w:t>
      </w:r>
      <w:r w:rsidR="007C4540" w:rsidRPr="006D3C51">
        <w:rPr>
          <w:rFonts w:ascii="Times New Roman" w:hAnsi="Times New Roman" w:cs="Times New Roman"/>
          <w:sz w:val="24"/>
          <w:szCs w:val="24"/>
        </w:rPr>
        <w:t xml:space="preserve"> el TEDH </w:t>
      </w:r>
      <w:r w:rsidRPr="006D3C51">
        <w:rPr>
          <w:rFonts w:ascii="Times New Roman" w:hAnsi="Times New Roman" w:cs="Times New Roman"/>
          <w:sz w:val="24"/>
          <w:szCs w:val="24"/>
        </w:rPr>
        <w:t>se demostró</w:t>
      </w:r>
      <w:r w:rsidR="007C4540" w:rsidRPr="006D3C51">
        <w:rPr>
          <w:rFonts w:ascii="Times New Roman" w:hAnsi="Times New Roman" w:cs="Times New Roman"/>
          <w:sz w:val="24"/>
          <w:szCs w:val="24"/>
        </w:rPr>
        <w:t xml:space="preserve"> muy prudente </w:t>
      </w:r>
      <w:r w:rsidR="007C4540" w:rsidRPr="006D3C51">
        <w:rPr>
          <w:rFonts w:ascii="Times New Roman" w:hAnsi="Times New Roman" w:cs="Times New Roman"/>
          <w:sz w:val="24"/>
          <w:szCs w:val="24"/>
        </w:rPr>
        <w:lastRenderedPageBreak/>
        <w:t xml:space="preserve">en imponer </w:t>
      </w:r>
      <w:r w:rsidR="0095390F" w:rsidRPr="006D3C51">
        <w:rPr>
          <w:rFonts w:ascii="Times New Roman" w:hAnsi="Times New Roman" w:cs="Times New Roman"/>
          <w:sz w:val="24"/>
          <w:szCs w:val="24"/>
        </w:rPr>
        <w:t>estándares</w:t>
      </w:r>
      <w:r w:rsidR="007C4540" w:rsidRPr="006D3C51">
        <w:rPr>
          <w:rFonts w:ascii="Times New Roman" w:hAnsi="Times New Roman" w:cs="Times New Roman"/>
          <w:sz w:val="24"/>
          <w:szCs w:val="24"/>
        </w:rPr>
        <w:t xml:space="preserve"> de protección</w:t>
      </w:r>
      <w:r w:rsidRPr="006D3C51">
        <w:rPr>
          <w:rFonts w:ascii="Times New Roman" w:hAnsi="Times New Roman" w:cs="Times New Roman"/>
          <w:sz w:val="24"/>
          <w:szCs w:val="24"/>
        </w:rPr>
        <w:t xml:space="preserve"> en detrimento del margen de apreciación estatal en un ámbito en el que la comunidad internacional no había (y todavía no ha) llegado a un consenso. </w:t>
      </w:r>
    </w:p>
    <w:p w14:paraId="794988B5" w14:textId="7759C491" w:rsidR="0027589C" w:rsidRPr="006D3C51" w:rsidRDefault="0056727C" w:rsidP="00781D53">
      <w:pPr>
        <w:spacing w:after="0" w:line="276" w:lineRule="auto"/>
        <w:jc w:val="both"/>
        <w:rPr>
          <w:rFonts w:ascii="Times New Roman" w:hAnsi="Times New Roman" w:cs="Times New Roman"/>
          <w:sz w:val="24"/>
          <w:szCs w:val="24"/>
        </w:rPr>
      </w:pPr>
      <w:r w:rsidRPr="00781D53">
        <w:rPr>
          <w:rFonts w:ascii="Times New Roman" w:hAnsi="Times New Roman" w:cs="Times New Roman"/>
          <w:sz w:val="24"/>
          <w:szCs w:val="24"/>
        </w:rPr>
        <w:t xml:space="preserve">Algo semejante ocurrió con el </w:t>
      </w:r>
      <w:r w:rsidR="00D353ED" w:rsidRPr="00781D53">
        <w:rPr>
          <w:rFonts w:ascii="Times New Roman" w:hAnsi="Times New Roman" w:cs="Times New Roman"/>
          <w:sz w:val="24"/>
          <w:szCs w:val="24"/>
        </w:rPr>
        <w:t xml:space="preserve">caso resuelto con sentencia de 9 de julio de 2020, asunto </w:t>
      </w:r>
      <w:r w:rsidR="008B746B" w:rsidRPr="00781D53">
        <w:rPr>
          <w:rFonts w:ascii="Times New Roman" w:hAnsi="Times New Roman" w:cs="Times New Roman"/>
          <w:i/>
          <w:sz w:val="24"/>
          <w:szCs w:val="24"/>
        </w:rPr>
        <w:t>Y.T. c.</w:t>
      </w:r>
      <w:r w:rsidR="0027589C" w:rsidRPr="00781D53">
        <w:rPr>
          <w:rFonts w:ascii="Times New Roman" w:hAnsi="Times New Roman" w:cs="Times New Roman"/>
          <w:i/>
          <w:sz w:val="24"/>
          <w:szCs w:val="24"/>
        </w:rPr>
        <w:t xml:space="preserve"> </w:t>
      </w:r>
      <w:r w:rsidR="008B746B" w:rsidRPr="00781D53">
        <w:rPr>
          <w:rFonts w:ascii="Times New Roman" w:hAnsi="Times New Roman" w:cs="Times New Roman"/>
          <w:i/>
          <w:sz w:val="24"/>
          <w:szCs w:val="24"/>
        </w:rPr>
        <w:t>Bulgaria</w:t>
      </w:r>
      <w:r w:rsidR="0027589C" w:rsidRPr="00781D53">
        <w:rPr>
          <w:rStyle w:val="Refdenotaalpie"/>
          <w:rFonts w:ascii="Times New Roman" w:hAnsi="Times New Roman" w:cs="Times New Roman"/>
          <w:sz w:val="24"/>
          <w:szCs w:val="24"/>
        </w:rPr>
        <w:footnoteReference w:id="45"/>
      </w:r>
      <w:r w:rsidR="004D59F0" w:rsidRPr="00781D53">
        <w:rPr>
          <w:rFonts w:ascii="Times New Roman" w:hAnsi="Times New Roman" w:cs="Times New Roman"/>
          <w:sz w:val="24"/>
          <w:szCs w:val="24"/>
        </w:rPr>
        <w:t>,</w:t>
      </w:r>
      <w:r w:rsidR="0027589C" w:rsidRPr="00781D53">
        <w:rPr>
          <w:rFonts w:ascii="Times New Roman" w:hAnsi="Times New Roman" w:cs="Times New Roman"/>
          <w:sz w:val="24"/>
          <w:szCs w:val="24"/>
        </w:rPr>
        <w:t xml:space="preserve"> relativo</w:t>
      </w:r>
      <w:r w:rsidR="0027589C" w:rsidRPr="006D3C51">
        <w:rPr>
          <w:rFonts w:ascii="Times New Roman" w:hAnsi="Times New Roman" w:cs="Times New Roman"/>
          <w:sz w:val="24"/>
          <w:szCs w:val="24"/>
        </w:rPr>
        <w:t xml:space="preserve"> a un supuesto en el que un hombre transexual, el Sr. Y.T., que nació con sexo biológico femenino pero que desde la adolescencia se identificó con el sexo opuesto y que emprendió voluntariamente algunas operaciones quirúrgicas (como una mastectomía completa, entre otras) para adaptar su apariencia a su identidad sexual, recibió una negativa injustificada por parte de las autoridades competentes a que se le otorgara la reasignación de sexo en el registro del estado civil. Los tribunales búlgaros supeditaron la modificación administrativa de su sexo a la realización de una intervención quirúrgica de reasignación total del sexo, pues “</w:t>
      </w:r>
      <w:r w:rsidR="0027589C" w:rsidRPr="006D3C51">
        <w:rPr>
          <w:rFonts w:ascii="Times New Roman" w:hAnsi="Times New Roman" w:cs="Times New Roman"/>
          <w:i/>
          <w:sz w:val="24"/>
          <w:szCs w:val="24"/>
        </w:rPr>
        <w:t>reconocer que una persona pertenece a un sexo determinado como hecho jurídico, sobre la base del sentimiento psíquico personal por ese sexo concreto experimentado por esa misma persona, no solo constituye una violación de la ley, sino que crearía en la persona en cuestión una nuevo estado que corre el riesgo de no aceptar realmente</w:t>
      </w:r>
      <w:r w:rsidR="0027589C" w:rsidRPr="006D3C51">
        <w:rPr>
          <w:rFonts w:ascii="Times New Roman" w:hAnsi="Times New Roman" w:cs="Times New Roman"/>
          <w:sz w:val="24"/>
          <w:szCs w:val="24"/>
        </w:rPr>
        <w:t>” (</w:t>
      </w:r>
      <w:r w:rsidR="004D59F0" w:rsidRPr="006D3C51">
        <w:rPr>
          <w:rFonts w:ascii="Times New Roman" w:hAnsi="Times New Roman" w:cs="Times New Roman"/>
          <w:sz w:val="24"/>
          <w:szCs w:val="24"/>
        </w:rPr>
        <w:t>§</w:t>
      </w:r>
      <w:r w:rsidR="004D59F0">
        <w:rPr>
          <w:rFonts w:ascii="Times New Roman" w:hAnsi="Times New Roman" w:cs="Times New Roman"/>
          <w:sz w:val="24"/>
          <w:szCs w:val="24"/>
        </w:rPr>
        <w:t xml:space="preserve"> </w:t>
      </w:r>
      <w:r w:rsidR="0027589C" w:rsidRPr="006D3C51">
        <w:rPr>
          <w:rFonts w:ascii="Times New Roman" w:hAnsi="Times New Roman" w:cs="Times New Roman"/>
          <w:sz w:val="24"/>
          <w:szCs w:val="24"/>
        </w:rPr>
        <w:t xml:space="preserve">11). </w:t>
      </w:r>
    </w:p>
    <w:p w14:paraId="7A124503" w14:textId="6438C2BF" w:rsidR="0027589C" w:rsidRPr="006D3C51" w:rsidRDefault="008B746B"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El TEDH llegó a la conclusión </w:t>
      </w:r>
      <w:r w:rsidR="003140EA" w:rsidRPr="006D3C51">
        <w:rPr>
          <w:rFonts w:ascii="Times New Roman" w:hAnsi="Times New Roman" w:cs="Times New Roman"/>
          <w:sz w:val="24"/>
          <w:szCs w:val="24"/>
        </w:rPr>
        <w:t xml:space="preserve">de </w:t>
      </w:r>
      <w:r w:rsidRPr="006D3C51">
        <w:rPr>
          <w:rFonts w:ascii="Times New Roman" w:hAnsi="Times New Roman" w:cs="Times New Roman"/>
          <w:sz w:val="24"/>
          <w:szCs w:val="24"/>
        </w:rPr>
        <w:t xml:space="preserve">que no se violó el derecho al </w:t>
      </w:r>
      <w:r w:rsidR="00AC02FE" w:rsidRPr="006D3C51">
        <w:rPr>
          <w:rFonts w:ascii="Times New Roman" w:hAnsi="Times New Roman" w:cs="Times New Roman"/>
          <w:sz w:val="24"/>
          <w:szCs w:val="24"/>
        </w:rPr>
        <w:t xml:space="preserve">respeto </w:t>
      </w:r>
      <w:r w:rsidR="003140EA" w:rsidRPr="006D3C51">
        <w:rPr>
          <w:rFonts w:ascii="Times New Roman" w:hAnsi="Times New Roman" w:cs="Times New Roman"/>
          <w:sz w:val="24"/>
          <w:szCs w:val="24"/>
        </w:rPr>
        <w:t>de</w:t>
      </w:r>
      <w:r w:rsidR="00AC02FE" w:rsidRPr="006D3C51">
        <w:rPr>
          <w:rFonts w:ascii="Times New Roman" w:hAnsi="Times New Roman" w:cs="Times New Roman"/>
          <w:sz w:val="24"/>
          <w:szCs w:val="24"/>
        </w:rPr>
        <w:t xml:space="preserve"> la integridad física del </w:t>
      </w:r>
      <w:r w:rsidRPr="006D3C51">
        <w:rPr>
          <w:rFonts w:ascii="Times New Roman" w:hAnsi="Times New Roman" w:cs="Times New Roman"/>
          <w:sz w:val="24"/>
          <w:szCs w:val="24"/>
        </w:rPr>
        <w:t xml:space="preserve">demandante, dado que </w:t>
      </w:r>
      <w:r w:rsidR="00C14117" w:rsidRPr="006D3C51">
        <w:rPr>
          <w:rFonts w:ascii="Times New Roman" w:hAnsi="Times New Roman" w:cs="Times New Roman"/>
          <w:sz w:val="24"/>
          <w:szCs w:val="24"/>
        </w:rPr>
        <w:t>el Sr. Y.T.</w:t>
      </w:r>
      <w:r w:rsidR="0027589C" w:rsidRPr="006D3C51">
        <w:rPr>
          <w:rFonts w:ascii="Times New Roman" w:hAnsi="Times New Roman" w:cs="Times New Roman"/>
          <w:sz w:val="24"/>
          <w:szCs w:val="24"/>
        </w:rPr>
        <w:t>, después de varios años viendo como las autoridades nacionales denegaban su solicitud,</w:t>
      </w:r>
      <w:r w:rsidR="00C14117" w:rsidRPr="006D3C51">
        <w:rPr>
          <w:rFonts w:ascii="Times New Roman" w:hAnsi="Times New Roman" w:cs="Times New Roman"/>
          <w:sz w:val="24"/>
          <w:szCs w:val="24"/>
        </w:rPr>
        <w:t xml:space="preserve"> </w:t>
      </w:r>
      <w:r w:rsidR="000A0C12" w:rsidRPr="006D3C51">
        <w:rPr>
          <w:rFonts w:ascii="Times New Roman" w:hAnsi="Times New Roman" w:cs="Times New Roman"/>
          <w:sz w:val="24"/>
          <w:szCs w:val="24"/>
        </w:rPr>
        <w:t>tomó voluntariamente y libremente la decisión de someterse</w:t>
      </w:r>
      <w:r w:rsidR="00C14117" w:rsidRPr="006D3C51">
        <w:rPr>
          <w:rFonts w:ascii="Times New Roman" w:hAnsi="Times New Roman" w:cs="Times New Roman"/>
          <w:sz w:val="24"/>
          <w:szCs w:val="24"/>
        </w:rPr>
        <w:t xml:space="preserve"> a la intervención </w:t>
      </w:r>
      <w:r w:rsidR="00AC02FE" w:rsidRPr="006D3C51">
        <w:rPr>
          <w:rFonts w:ascii="Times New Roman" w:hAnsi="Times New Roman" w:cs="Times New Roman"/>
          <w:sz w:val="24"/>
          <w:szCs w:val="24"/>
        </w:rPr>
        <w:t xml:space="preserve">quirúrgica </w:t>
      </w:r>
      <w:r w:rsidR="00C14117" w:rsidRPr="006D3C51">
        <w:rPr>
          <w:rFonts w:ascii="Times New Roman" w:hAnsi="Times New Roman" w:cs="Times New Roman"/>
          <w:sz w:val="24"/>
          <w:szCs w:val="24"/>
        </w:rPr>
        <w:t xml:space="preserve">requerida por las autoridades de su país para obtener </w:t>
      </w:r>
      <w:r w:rsidR="00AC02FE" w:rsidRPr="006D3C51">
        <w:rPr>
          <w:rFonts w:ascii="Times New Roman" w:hAnsi="Times New Roman" w:cs="Times New Roman"/>
          <w:sz w:val="24"/>
          <w:szCs w:val="24"/>
        </w:rPr>
        <w:t>el reconocimiento de su reasignación de género</w:t>
      </w:r>
      <w:r w:rsidR="00C14117" w:rsidRPr="006D3C51">
        <w:rPr>
          <w:rFonts w:ascii="Times New Roman" w:hAnsi="Times New Roman" w:cs="Times New Roman"/>
          <w:sz w:val="24"/>
          <w:szCs w:val="24"/>
        </w:rPr>
        <w:t xml:space="preserve"> (</w:t>
      </w:r>
      <w:r w:rsidR="004D59F0" w:rsidRPr="006D3C51">
        <w:rPr>
          <w:rFonts w:ascii="Times New Roman" w:hAnsi="Times New Roman" w:cs="Times New Roman"/>
          <w:sz w:val="24"/>
          <w:szCs w:val="24"/>
        </w:rPr>
        <w:t>§</w:t>
      </w:r>
      <w:r w:rsidR="004D59F0">
        <w:rPr>
          <w:rFonts w:ascii="Times New Roman" w:hAnsi="Times New Roman" w:cs="Times New Roman"/>
          <w:sz w:val="24"/>
          <w:szCs w:val="24"/>
        </w:rPr>
        <w:t xml:space="preserve"> </w:t>
      </w:r>
      <w:r w:rsidR="000A0C12" w:rsidRPr="006D3C51">
        <w:rPr>
          <w:rFonts w:ascii="Times New Roman" w:hAnsi="Times New Roman" w:cs="Times New Roman"/>
          <w:sz w:val="24"/>
          <w:szCs w:val="24"/>
        </w:rPr>
        <w:t>68</w:t>
      </w:r>
      <w:r w:rsidR="00C14117" w:rsidRPr="006D3C51">
        <w:rPr>
          <w:rFonts w:ascii="Times New Roman" w:hAnsi="Times New Roman" w:cs="Times New Roman"/>
          <w:sz w:val="24"/>
          <w:szCs w:val="24"/>
        </w:rPr>
        <w:t>)</w:t>
      </w:r>
      <w:r w:rsidR="000A0C12" w:rsidRPr="006D3C51">
        <w:rPr>
          <w:rFonts w:ascii="Times New Roman" w:hAnsi="Times New Roman" w:cs="Times New Roman"/>
          <w:sz w:val="24"/>
          <w:szCs w:val="24"/>
        </w:rPr>
        <w:t xml:space="preserve">, circunstancia que diferencia este caso del de 2017 sobre el asunto </w:t>
      </w:r>
      <w:r w:rsidR="000A0C12" w:rsidRPr="006D3C51">
        <w:rPr>
          <w:rFonts w:ascii="Times New Roman" w:hAnsi="Times New Roman" w:cs="Times New Roman"/>
          <w:i/>
          <w:sz w:val="24"/>
          <w:szCs w:val="24"/>
        </w:rPr>
        <w:t xml:space="preserve">A.P., </w:t>
      </w:r>
      <w:proofErr w:type="spellStart"/>
      <w:r w:rsidR="000A0C12" w:rsidRPr="006D3C51">
        <w:rPr>
          <w:rFonts w:ascii="Times New Roman" w:hAnsi="Times New Roman" w:cs="Times New Roman"/>
          <w:i/>
          <w:sz w:val="24"/>
          <w:szCs w:val="24"/>
        </w:rPr>
        <w:t>Garçon</w:t>
      </w:r>
      <w:proofErr w:type="spellEnd"/>
      <w:r w:rsidR="000A0C12" w:rsidRPr="006D3C51">
        <w:rPr>
          <w:rFonts w:ascii="Times New Roman" w:hAnsi="Times New Roman" w:cs="Times New Roman"/>
          <w:i/>
          <w:sz w:val="24"/>
          <w:szCs w:val="24"/>
        </w:rPr>
        <w:t xml:space="preserve"> y </w:t>
      </w:r>
      <w:proofErr w:type="spellStart"/>
      <w:r w:rsidR="000A0C12" w:rsidRPr="006D3C51">
        <w:rPr>
          <w:rFonts w:ascii="Times New Roman" w:hAnsi="Times New Roman" w:cs="Times New Roman"/>
          <w:i/>
          <w:sz w:val="24"/>
          <w:szCs w:val="24"/>
        </w:rPr>
        <w:t>Nicot</w:t>
      </w:r>
      <w:proofErr w:type="spellEnd"/>
      <w:r w:rsidR="00C14117" w:rsidRPr="006D3C51">
        <w:rPr>
          <w:rFonts w:ascii="Times New Roman" w:hAnsi="Times New Roman" w:cs="Times New Roman"/>
          <w:sz w:val="24"/>
          <w:szCs w:val="24"/>
        </w:rPr>
        <w:t xml:space="preserve">. </w:t>
      </w:r>
    </w:p>
    <w:p w14:paraId="32027D78" w14:textId="7D5B3DA0" w:rsidR="0027589C" w:rsidRPr="006D3C51" w:rsidRDefault="0027589C"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El Tribunal fundó la violación del Convenio por parte de Bulgaria en la falta de una justificación suficiente como fundamento de la negativa de las autoridades nacionales a reconocer legalmente la reasignación de género del demandante, que vulneró indebidamente su derecho al respeto de su vida privada, y, por ello, el art. 8 CEDH.</w:t>
      </w:r>
    </w:p>
    <w:p w14:paraId="59FB8ABA" w14:textId="683E6709" w:rsidR="000A0C12" w:rsidRPr="006D3C51" w:rsidRDefault="0027589C"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Aunque el TEDH criticara </w:t>
      </w:r>
      <w:r w:rsidR="000A0C12" w:rsidRPr="006D3C51">
        <w:rPr>
          <w:rFonts w:ascii="Times New Roman" w:hAnsi="Times New Roman" w:cs="Times New Roman"/>
          <w:sz w:val="24"/>
          <w:szCs w:val="24"/>
        </w:rPr>
        <w:t xml:space="preserve">algunas afirmaciones de los tribunales nacionales </w:t>
      </w:r>
      <w:r w:rsidRPr="006D3C51">
        <w:rPr>
          <w:rFonts w:ascii="Times New Roman" w:hAnsi="Times New Roman" w:cs="Times New Roman"/>
          <w:sz w:val="24"/>
          <w:szCs w:val="24"/>
        </w:rPr>
        <w:t>(entre otras, la</w:t>
      </w:r>
      <w:r w:rsidR="000A0C12" w:rsidRPr="006D3C51">
        <w:rPr>
          <w:rFonts w:ascii="Times New Roman" w:hAnsi="Times New Roman" w:cs="Times New Roman"/>
          <w:sz w:val="24"/>
          <w:szCs w:val="24"/>
        </w:rPr>
        <w:t xml:space="preserve"> creencia de que la reasignación de género no es posible siempre que la persona presente características fisiológicas del sexo opuesto al nacer</w:t>
      </w:r>
      <w:r w:rsidRPr="006D3C51">
        <w:rPr>
          <w:rFonts w:ascii="Times New Roman" w:hAnsi="Times New Roman" w:cs="Times New Roman"/>
          <w:sz w:val="24"/>
          <w:szCs w:val="24"/>
        </w:rPr>
        <w:t xml:space="preserve">; o que </w:t>
      </w:r>
      <w:r w:rsidR="000A0C12" w:rsidRPr="006D3C51">
        <w:rPr>
          <w:rFonts w:ascii="Times New Roman" w:hAnsi="Times New Roman" w:cs="Times New Roman"/>
          <w:sz w:val="24"/>
          <w:szCs w:val="24"/>
        </w:rPr>
        <w:t>la aspiración sociopsicológica de una persona por sí sola no era suficiente para sustentar una solicitud de reasignación de género</w:t>
      </w:r>
      <w:r w:rsidRPr="006D3C51">
        <w:rPr>
          <w:rFonts w:ascii="Times New Roman" w:hAnsi="Times New Roman" w:cs="Times New Roman"/>
          <w:sz w:val="24"/>
          <w:szCs w:val="24"/>
        </w:rPr>
        <w:t>), no mencion</w:t>
      </w:r>
      <w:r w:rsidR="007C35AD" w:rsidRPr="006D3C51">
        <w:rPr>
          <w:rFonts w:ascii="Times New Roman" w:hAnsi="Times New Roman" w:cs="Times New Roman"/>
          <w:sz w:val="24"/>
          <w:szCs w:val="24"/>
        </w:rPr>
        <w:t>ó</w:t>
      </w:r>
      <w:r w:rsidRPr="006D3C51">
        <w:rPr>
          <w:rFonts w:ascii="Times New Roman" w:hAnsi="Times New Roman" w:cs="Times New Roman"/>
          <w:sz w:val="24"/>
          <w:szCs w:val="24"/>
        </w:rPr>
        <w:t xml:space="preserve"> en ningún momento que la previsión en sí</w:t>
      </w:r>
      <w:r w:rsidR="007C35AD" w:rsidRPr="006D3C51">
        <w:rPr>
          <w:rFonts w:ascii="Times New Roman" w:hAnsi="Times New Roman" w:cs="Times New Roman"/>
          <w:sz w:val="24"/>
          <w:szCs w:val="24"/>
        </w:rPr>
        <w:t xml:space="preserve"> de una regla que condiciona la obtención del cambio registral del sexo a la realización de una operación quirúrgica pone, como ya afirmó en 2017, asunto </w:t>
      </w:r>
      <w:r w:rsidR="007C35AD" w:rsidRPr="006D3C51">
        <w:rPr>
          <w:rFonts w:ascii="Times New Roman" w:hAnsi="Times New Roman" w:cs="Times New Roman"/>
          <w:i/>
          <w:sz w:val="24"/>
          <w:szCs w:val="24"/>
        </w:rPr>
        <w:t xml:space="preserve">A.P., </w:t>
      </w:r>
      <w:proofErr w:type="spellStart"/>
      <w:r w:rsidR="007C35AD" w:rsidRPr="006D3C51">
        <w:rPr>
          <w:rFonts w:ascii="Times New Roman" w:hAnsi="Times New Roman" w:cs="Times New Roman"/>
          <w:i/>
          <w:sz w:val="24"/>
          <w:szCs w:val="24"/>
        </w:rPr>
        <w:t>Garçon</w:t>
      </w:r>
      <w:proofErr w:type="spellEnd"/>
      <w:r w:rsidR="007C35AD" w:rsidRPr="006D3C51">
        <w:rPr>
          <w:rFonts w:ascii="Times New Roman" w:hAnsi="Times New Roman" w:cs="Times New Roman"/>
          <w:i/>
          <w:sz w:val="24"/>
          <w:szCs w:val="24"/>
        </w:rPr>
        <w:t xml:space="preserve"> y </w:t>
      </w:r>
      <w:proofErr w:type="spellStart"/>
      <w:r w:rsidR="007C35AD" w:rsidRPr="006D3C51">
        <w:rPr>
          <w:rFonts w:ascii="Times New Roman" w:hAnsi="Times New Roman" w:cs="Times New Roman"/>
          <w:i/>
          <w:sz w:val="24"/>
          <w:szCs w:val="24"/>
        </w:rPr>
        <w:t>Nicot</w:t>
      </w:r>
      <w:proofErr w:type="spellEnd"/>
      <w:r w:rsidR="007C35AD" w:rsidRPr="006D3C51">
        <w:rPr>
          <w:rFonts w:ascii="Times New Roman" w:hAnsi="Times New Roman" w:cs="Times New Roman"/>
          <w:sz w:val="24"/>
          <w:szCs w:val="24"/>
        </w:rPr>
        <w:t xml:space="preserve">, a la persona transexual ante la necesidad de elegir entre su integridad física y su derecho a la identidad sexual. Asimismo, la decisión del individuo es muy probable que esté viciada, al saber que solo podrá obtener el reconocimiento de su identidad sometiéndose a una cirugía. </w:t>
      </w:r>
    </w:p>
    <w:p w14:paraId="3D03B6FC" w14:textId="528FBEE8" w:rsidR="002360A3" w:rsidRPr="006D3C51" w:rsidRDefault="002360A3" w:rsidP="00781D53">
      <w:pPr>
        <w:spacing w:after="0" w:line="276" w:lineRule="auto"/>
        <w:jc w:val="both"/>
        <w:rPr>
          <w:rFonts w:ascii="Times New Roman" w:hAnsi="Times New Roman" w:cs="Times New Roman"/>
          <w:sz w:val="24"/>
          <w:szCs w:val="24"/>
        </w:rPr>
      </w:pPr>
    </w:p>
    <w:p w14:paraId="6F9BB08E" w14:textId="589126CC" w:rsidR="002360A3" w:rsidRPr="006D3C51" w:rsidRDefault="00AF01F4" w:rsidP="00781D53">
      <w:pPr>
        <w:spacing w:after="0" w:line="276" w:lineRule="auto"/>
        <w:jc w:val="both"/>
        <w:rPr>
          <w:rFonts w:ascii="Times New Roman" w:hAnsi="Times New Roman" w:cs="Times New Roman"/>
          <w:b/>
          <w:sz w:val="24"/>
          <w:szCs w:val="24"/>
        </w:rPr>
      </w:pPr>
      <w:bookmarkStart w:id="14" w:name="_Hlk83724352"/>
      <w:r>
        <w:rPr>
          <w:rFonts w:ascii="Times New Roman" w:hAnsi="Times New Roman" w:cs="Times New Roman"/>
          <w:b/>
          <w:sz w:val="24"/>
          <w:szCs w:val="24"/>
        </w:rPr>
        <w:t>VI. La reciente sentencia</w:t>
      </w:r>
      <w:r w:rsidRPr="00AF01F4">
        <w:t xml:space="preserve"> </w:t>
      </w:r>
      <w:r w:rsidRPr="00AF01F4">
        <w:rPr>
          <w:rFonts w:ascii="Times New Roman" w:hAnsi="Times New Roman" w:cs="Times New Roman"/>
          <w:b/>
          <w:i/>
          <w:sz w:val="24"/>
          <w:szCs w:val="24"/>
        </w:rPr>
        <w:t xml:space="preserve">X. </w:t>
      </w:r>
      <w:proofErr w:type="spellStart"/>
      <w:r w:rsidRPr="00AF01F4">
        <w:rPr>
          <w:rFonts w:ascii="Times New Roman" w:hAnsi="Times New Roman" w:cs="Times New Roman"/>
          <w:b/>
          <w:i/>
          <w:sz w:val="24"/>
          <w:szCs w:val="24"/>
        </w:rPr>
        <w:t>e</w:t>
      </w:r>
      <w:proofErr w:type="spellEnd"/>
      <w:r w:rsidRPr="00AF01F4">
        <w:rPr>
          <w:rFonts w:ascii="Times New Roman" w:hAnsi="Times New Roman" w:cs="Times New Roman"/>
          <w:b/>
          <w:i/>
          <w:sz w:val="24"/>
          <w:szCs w:val="24"/>
        </w:rPr>
        <w:t xml:space="preserve"> Y. c. Rumania</w:t>
      </w:r>
      <w:r>
        <w:rPr>
          <w:rFonts w:ascii="Times New Roman" w:hAnsi="Times New Roman" w:cs="Times New Roman"/>
          <w:b/>
          <w:sz w:val="24"/>
          <w:szCs w:val="24"/>
        </w:rPr>
        <w:t xml:space="preserve"> de 2021</w:t>
      </w:r>
      <w:r w:rsidR="00D42A1E">
        <w:rPr>
          <w:rFonts w:ascii="Times New Roman" w:hAnsi="Times New Roman" w:cs="Times New Roman"/>
          <w:b/>
          <w:sz w:val="24"/>
          <w:szCs w:val="24"/>
        </w:rPr>
        <w:t>:</w:t>
      </w:r>
      <w:r>
        <w:rPr>
          <w:rFonts w:ascii="Times New Roman" w:hAnsi="Times New Roman" w:cs="Times New Roman"/>
          <w:b/>
          <w:sz w:val="24"/>
          <w:szCs w:val="24"/>
        </w:rPr>
        <w:t xml:space="preserve"> </w:t>
      </w:r>
      <w:r w:rsidR="00D42A1E">
        <w:rPr>
          <w:rFonts w:ascii="Times New Roman" w:hAnsi="Times New Roman" w:cs="Times New Roman"/>
          <w:b/>
          <w:sz w:val="24"/>
          <w:szCs w:val="24"/>
        </w:rPr>
        <w:t>¿</w:t>
      </w:r>
      <w:r>
        <w:rPr>
          <w:rFonts w:ascii="Times New Roman" w:hAnsi="Times New Roman" w:cs="Times New Roman"/>
          <w:b/>
          <w:sz w:val="24"/>
          <w:szCs w:val="24"/>
        </w:rPr>
        <w:t xml:space="preserve">consolidación de </w:t>
      </w:r>
      <w:r w:rsidR="00D42A1E">
        <w:rPr>
          <w:rFonts w:ascii="Times New Roman" w:hAnsi="Times New Roman" w:cs="Times New Roman"/>
          <w:b/>
          <w:sz w:val="24"/>
          <w:szCs w:val="24"/>
        </w:rPr>
        <w:t>avances importantes o prudencia excesiva</w:t>
      </w:r>
      <w:r w:rsidR="002F6E4F">
        <w:rPr>
          <w:rFonts w:ascii="Times New Roman" w:hAnsi="Times New Roman" w:cs="Times New Roman"/>
          <w:b/>
          <w:sz w:val="24"/>
          <w:szCs w:val="24"/>
        </w:rPr>
        <w:t xml:space="preserve"> por parte del Tribunal Europeo</w:t>
      </w:r>
      <w:r w:rsidR="00D42A1E">
        <w:rPr>
          <w:rFonts w:ascii="Times New Roman" w:hAnsi="Times New Roman" w:cs="Times New Roman"/>
          <w:b/>
          <w:sz w:val="24"/>
          <w:szCs w:val="24"/>
        </w:rPr>
        <w:t xml:space="preserve">? </w:t>
      </w:r>
    </w:p>
    <w:p w14:paraId="3C84B749" w14:textId="77777777" w:rsidR="00D42A1E" w:rsidRDefault="00D42A1E" w:rsidP="00781D53">
      <w:pPr>
        <w:spacing w:after="0" w:line="276" w:lineRule="auto"/>
        <w:jc w:val="both"/>
        <w:rPr>
          <w:rFonts w:ascii="Times New Roman" w:hAnsi="Times New Roman" w:cs="Times New Roman"/>
          <w:sz w:val="24"/>
          <w:szCs w:val="24"/>
        </w:rPr>
      </w:pPr>
      <w:bookmarkStart w:id="15" w:name="_Hlk75255194"/>
      <w:bookmarkEnd w:id="14"/>
    </w:p>
    <w:p w14:paraId="0B62AF68" w14:textId="19430E35" w:rsidR="00806603" w:rsidRPr="006D3C51" w:rsidRDefault="00EB65A7"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lastRenderedPageBreak/>
        <w:t xml:space="preserve">En la reciente </w:t>
      </w:r>
      <w:r w:rsidR="00DB3539" w:rsidRPr="006D3C51">
        <w:rPr>
          <w:rFonts w:ascii="Times New Roman" w:hAnsi="Times New Roman" w:cs="Times New Roman"/>
          <w:sz w:val="24"/>
          <w:szCs w:val="24"/>
        </w:rPr>
        <w:t>sentencia</w:t>
      </w:r>
      <w:r w:rsidR="00806603" w:rsidRPr="006D3C51">
        <w:rPr>
          <w:rFonts w:ascii="Times New Roman" w:hAnsi="Times New Roman" w:cs="Times New Roman"/>
          <w:sz w:val="24"/>
          <w:szCs w:val="24"/>
        </w:rPr>
        <w:t xml:space="preserve"> </w:t>
      </w:r>
      <w:r w:rsidRPr="006D3C51">
        <w:rPr>
          <w:rFonts w:ascii="Times New Roman" w:hAnsi="Times New Roman" w:cs="Times New Roman"/>
          <w:sz w:val="24"/>
          <w:szCs w:val="24"/>
        </w:rPr>
        <w:t xml:space="preserve">de 19 de enero de </w:t>
      </w:r>
      <w:r w:rsidRPr="00781D53">
        <w:rPr>
          <w:rFonts w:ascii="Times New Roman" w:hAnsi="Times New Roman" w:cs="Times New Roman"/>
          <w:sz w:val="24"/>
          <w:szCs w:val="24"/>
        </w:rPr>
        <w:t xml:space="preserve">2021, asunto </w:t>
      </w:r>
      <w:r w:rsidR="00806603" w:rsidRPr="00781D53">
        <w:rPr>
          <w:rFonts w:ascii="Times New Roman" w:hAnsi="Times New Roman" w:cs="Times New Roman"/>
          <w:i/>
          <w:sz w:val="24"/>
          <w:szCs w:val="24"/>
        </w:rPr>
        <w:t xml:space="preserve">X. </w:t>
      </w:r>
      <w:proofErr w:type="spellStart"/>
      <w:r w:rsidR="00806603" w:rsidRPr="00781D53">
        <w:rPr>
          <w:rFonts w:ascii="Times New Roman" w:hAnsi="Times New Roman" w:cs="Times New Roman"/>
          <w:i/>
          <w:sz w:val="24"/>
          <w:szCs w:val="24"/>
        </w:rPr>
        <w:t>e</w:t>
      </w:r>
      <w:proofErr w:type="spellEnd"/>
      <w:r w:rsidR="00806603" w:rsidRPr="00781D53">
        <w:rPr>
          <w:rFonts w:ascii="Times New Roman" w:hAnsi="Times New Roman" w:cs="Times New Roman"/>
          <w:i/>
          <w:sz w:val="24"/>
          <w:szCs w:val="24"/>
        </w:rPr>
        <w:t xml:space="preserve"> Y. c. Rumania</w:t>
      </w:r>
      <w:r w:rsidR="002360A3" w:rsidRPr="00781D53">
        <w:rPr>
          <w:rStyle w:val="Refdenotaalpie"/>
          <w:rFonts w:ascii="Times New Roman" w:hAnsi="Times New Roman" w:cs="Times New Roman"/>
          <w:sz w:val="24"/>
          <w:szCs w:val="24"/>
        </w:rPr>
        <w:footnoteReference w:id="46"/>
      </w:r>
      <w:r w:rsidR="004D59F0" w:rsidRPr="00781D53">
        <w:rPr>
          <w:rFonts w:ascii="Times New Roman" w:hAnsi="Times New Roman" w:cs="Times New Roman"/>
          <w:sz w:val="24"/>
          <w:szCs w:val="24"/>
        </w:rPr>
        <w:t>,</w:t>
      </w:r>
      <w:r w:rsidR="0035748C" w:rsidRPr="00781D53">
        <w:rPr>
          <w:rFonts w:ascii="Times New Roman" w:hAnsi="Times New Roman" w:cs="Times New Roman"/>
          <w:sz w:val="24"/>
          <w:szCs w:val="24"/>
        </w:rPr>
        <w:t xml:space="preserve"> </w:t>
      </w:r>
      <w:r w:rsidRPr="00781D53">
        <w:rPr>
          <w:rFonts w:ascii="Times New Roman" w:hAnsi="Times New Roman" w:cs="Times New Roman"/>
          <w:sz w:val="24"/>
          <w:szCs w:val="24"/>
        </w:rPr>
        <w:t>el TEDH</w:t>
      </w:r>
      <w:r w:rsidRPr="006D3C51">
        <w:rPr>
          <w:rFonts w:ascii="Times New Roman" w:hAnsi="Times New Roman" w:cs="Times New Roman"/>
          <w:sz w:val="24"/>
          <w:szCs w:val="24"/>
        </w:rPr>
        <w:t xml:space="preserve"> tuvo la ocasión para volver a aplicar la doctrina sentada en al asunto </w:t>
      </w:r>
      <w:r w:rsidRPr="006D3C51">
        <w:rPr>
          <w:rFonts w:ascii="Times New Roman" w:hAnsi="Times New Roman" w:cs="Times New Roman"/>
          <w:i/>
          <w:sz w:val="24"/>
          <w:szCs w:val="24"/>
        </w:rPr>
        <w:t>A.P.</w:t>
      </w:r>
      <w:r w:rsidRPr="006D3C51">
        <w:rPr>
          <w:rFonts w:ascii="Times New Roman" w:hAnsi="Times New Roman" w:cs="Times New Roman"/>
          <w:sz w:val="24"/>
          <w:szCs w:val="24"/>
        </w:rPr>
        <w:t xml:space="preserve"> de 2017. </w:t>
      </w:r>
    </w:p>
    <w:p w14:paraId="7265DF77" w14:textId="1CF64EC6" w:rsidR="00275E0C" w:rsidRPr="006D3C51" w:rsidRDefault="00EB65A7"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Se trataba de un caso en el que los tribunales rumanos, aplicando un </w:t>
      </w:r>
      <w:bookmarkEnd w:id="15"/>
      <w:r w:rsidR="00275E0C" w:rsidRPr="006D3C51">
        <w:rPr>
          <w:rFonts w:ascii="Times New Roman" w:hAnsi="Times New Roman" w:cs="Times New Roman"/>
          <w:sz w:val="24"/>
          <w:szCs w:val="24"/>
        </w:rPr>
        <w:t xml:space="preserve">marco legal en materia de reconocimiento legal de género </w:t>
      </w:r>
      <w:r w:rsidRPr="006D3C51">
        <w:rPr>
          <w:rFonts w:ascii="Times New Roman" w:hAnsi="Times New Roman" w:cs="Times New Roman"/>
          <w:sz w:val="24"/>
          <w:szCs w:val="24"/>
        </w:rPr>
        <w:t xml:space="preserve">que el TEDH reconoció que </w:t>
      </w:r>
      <w:r w:rsidR="00275E0C" w:rsidRPr="006D3C51">
        <w:rPr>
          <w:rFonts w:ascii="Times New Roman" w:hAnsi="Times New Roman" w:cs="Times New Roman"/>
          <w:sz w:val="24"/>
          <w:szCs w:val="24"/>
        </w:rPr>
        <w:t>no era claro y, por lo tanto, predecible</w:t>
      </w:r>
      <w:r w:rsidRPr="006D3C51">
        <w:rPr>
          <w:rFonts w:ascii="Times New Roman" w:hAnsi="Times New Roman" w:cs="Times New Roman"/>
          <w:sz w:val="24"/>
          <w:szCs w:val="24"/>
        </w:rPr>
        <w:t xml:space="preserve">, </w:t>
      </w:r>
      <w:r w:rsidR="00275E0C" w:rsidRPr="006D3C51">
        <w:rPr>
          <w:rFonts w:ascii="Times New Roman" w:hAnsi="Times New Roman" w:cs="Times New Roman"/>
          <w:sz w:val="24"/>
          <w:szCs w:val="24"/>
        </w:rPr>
        <w:t>se negaron a reconocer la reasignación de género o autorizar la modificación de la designación de género y otros datos en los registros civiles por no haberse realizado cirugías de reasignación de género en los genitales</w:t>
      </w:r>
      <w:r w:rsidRPr="006D3C51">
        <w:rPr>
          <w:rFonts w:ascii="Times New Roman" w:hAnsi="Times New Roman" w:cs="Times New Roman"/>
          <w:sz w:val="24"/>
          <w:szCs w:val="24"/>
        </w:rPr>
        <w:t>, considerando que e</w:t>
      </w:r>
      <w:r w:rsidR="00275E0C" w:rsidRPr="006D3C51">
        <w:rPr>
          <w:rFonts w:ascii="Times New Roman" w:hAnsi="Times New Roman" w:cs="Times New Roman"/>
          <w:sz w:val="24"/>
          <w:szCs w:val="24"/>
        </w:rPr>
        <w:t>l principio de autodeterminación no era suficiente para atender las solicitudes de cambio de género que se les presentaban.</w:t>
      </w:r>
      <w:r w:rsidRPr="006D3C51">
        <w:rPr>
          <w:rFonts w:ascii="Times New Roman" w:hAnsi="Times New Roman" w:cs="Times New Roman"/>
          <w:sz w:val="24"/>
          <w:szCs w:val="24"/>
        </w:rPr>
        <w:t xml:space="preserve"> </w:t>
      </w:r>
    </w:p>
    <w:p w14:paraId="5371F1E6" w14:textId="40D2EE07" w:rsidR="00FD70E8" w:rsidRPr="006D3C51" w:rsidRDefault="00FD70E8"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El TEDH observó que los demandantes no deseaban someterse a tales intervenciones antes del reconocimiento legal de su reasignación de género, y que, por tanto, dicha cirugía afectaba a su integridad física</w:t>
      </w:r>
      <w:r w:rsidR="00E718CB" w:rsidRPr="006D3C51">
        <w:rPr>
          <w:rFonts w:ascii="Times New Roman" w:hAnsi="Times New Roman" w:cs="Times New Roman"/>
          <w:sz w:val="24"/>
          <w:szCs w:val="24"/>
        </w:rPr>
        <w:t xml:space="preserve"> (</w:t>
      </w:r>
      <w:r w:rsidR="004D59F0" w:rsidRPr="006D3C51">
        <w:rPr>
          <w:rFonts w:ascii="Times New Roman" w:hAnsi="Times New Roman" w:cs="Times New Roman"/>
          <w:sz w:val="24"/>
          <w:szCs w:val="24"/>
        </w:rPr>
        <w:t>§§</w:t>
      </w:r>
      <w:r w:rsidR="004D59F0">
        <w:rPr>
          <w:rFonts w:ascii="Times New Roman" w:hAnsi="Times New Roman" w:cs="Times New Roman"/>
          <w:sz w:val="24"/>
          <w:szCs w:val="24"/>
        </w:rPr>
        <w:t xml:space="preserve"> </w:t>
      </w:r>
      <w:r w:rsidR="00E718CB" w:rsidRPr="006D3C51">
        <w:rPr>
          <w:rFonts w:ascii="Times New Roman" w:hAnsi="Times New Roman" w:cs="Times New Roman"/>
          <w:sz w:val="24"/>
          <w:szCs w:val="24"/>
        </w:rPr>
        <w:t>160-161)</w:t>
      </w:r>
      <w:r w:rsidRPr="006D3C51">
        <w:rPr>
          <w:rFonts w:ascii="Times New Roman" w:hAnsi="Times New Roman" w:cs="Times New Roman"/>
          <w:sz w:val="24"/>
          <w:szCs w:val="24"/>
        </w:rPr>
        <w:t xml:space="preserve">. </w:t>
      </w:r>
    </w:p>
    <w:p w14:paraId="493AD281" w14:textId="4700F0B1" w:rsidR="00275E0C" w:rsidRPr="006D3C51" w:rsidRDefault="00FD70E8"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Sorprende que el Tribunal de Estrasburgo diferencie la situación de los demandantes de este caso de los de los asuntos de 2018, 2019 y 2020 por el simple hecho que hayan (o no) demostrado en algún momento querer someterse a una intervención quirúrgica de cambio de sexo. </w:t>
      </w:r>
    </w:p>
    <w:p w14:paraId="70AA7A59" w14:textId="328D5708" w:rsidR="00275E0C" w:rsidRPr="006D3C51" w:rsidRDefault="00FD70E8"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En opinión de quien escribe, </w:t>
      </w:r>
      <w:r w:rsidR="00D43343" w:rsidRPr="006D3C51">
        <w:rPr>
          <w:rFonts w:ascii="Times New Roman" w:hAnsi="Times New Roman" w:cs="Times New Roman"/>
          <w:sz w:val="24"/>
          <w:szCs w:val="24"/>
        </w:rPr>
        <w:t>sobre todo después de la eliminación de la transexualidad del listado de enfermedades de la OMS</w:t>
      </w:r>
      <w:r w:rsidR="00E718CB" w:rsidRPr="006D3C51">
        <w:rPr>
          <w:rFonts w:ascii="Times New Roman" w:hAnsi="Times New Roman" w:cs="Times New Roman"/>
          <w:sz w:val="24"/>
          <w:szCs w:val="24"/>
        </w:rPr>
        <w:t xml:space="preserve"> en 2018</w:t>
      </w:r>
      <w:r w:rsidR="00D43343" w:rsidRPr="006D3C51">
        <w:rPr>
          <w:rFonts w:ascii="Times New Roman" w:hAnsi="Times New Roman" w:cs="Times New Roman"/>
          <w:sz w:val="24"/>
          <w:szCs w:val="24"/>
        </w:rPr>
        <w:t>, la atención del Tribunal debería dirigirse a comprobar si las legislaciones de los Estados miembros siguen imponiendo que las personas transexuales, para obtener el reconocimiento registral de su identidad sexual, se sometan a determinados tratamientos contrarios a su integridad física y moral, a su dignidad y al libre desarrollo de su personalidad</w:t>
      </w:r>
      <w:r w:rsidR="004F6EC9" w:rsidRPr="006D3C51">
        <w:rPr>
          <w:rStyle w:val="Refdenotaalpie"/>
          <w:rFonts w:ascii="Times New Roman" w:hAnsi="Times New Roman" w:cs="Times New Roman"/>
          <w:sz w:val="24"/>
          <w:szCs w:val="24"/>
        </w:rPr>
        <w:footnoteReference w:id="47"/>
      </w:r>
      <w:r w:rsidR="004D59F0">
        <w:rPr>
          <w:rFonts w:ascii="Times New Roman" w:hAnsi="Times New Roman" w:cs="Times New Roman"/>
          <w:sz w:val="24"/>
          <w:szCs w:val="24"/>
        </w:rPr>
        <w:t>,</w:t>
      </w:r>
      <w:r w:rsidR="00D43343" w:rsidRPr="006D3C51">
        <w:rPr>
          <w:rFonts w:ascii="Times New Roman" w:hAnsi="Times New Roman" w:cs="Times New Roman"/>
          <w:sz w:val="24"/>
          <w:szCs w:val="24"/>
        </w:rPr>
        <w:t xml:space="preserve"> aunque, claro está, la decisión del TEDH y la eventual condena del Estado solo pueden fundarse en los hechos constitutivos del supuesto concreto. Esto, en particular, por las razones antes mencionadas, esto es, por la posibilidad de que el mantenimiento de ciertas prácticas médicas previstas en la ley nacional puede viciar el consentimiento del solicitante. </w:t>
      </w:r>
    </w:p>
    <w:p w14:paraId="50BDD8D7" w14:textId="4F000EDE" w:rsidR="001409B6" w:rsidRPr="006D3C51" w:rsidRDefault="00D43343"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El problema sobre el que el TEDH debería centrarse e</w:t>
      </w:r>
      <w:r w:rsidR="00132294">
        <w:rPr>
          <w:rFonts w:ascii="Times New Roman" w:hAnsi="Times New Roman" w:cs="Times New Roman"/>
          <w:sz w:val="24"/>
          <w:szCs w:val="24"/>
        </w:rPr>
        <w:t>s</w:t>
      </w:r>
      <w:r w:rsidRPr="006D3C51">
        <w:rPr>
          <w:rFonts w:ascii="Times New Roman" w:hAnsi="Times New Roman" w:cs="Times New Roman"/>
          <w:sz w:val="24"/>
          <w:szCs w:val="24"/>
        </w:rPr>
        <w:t xml:space="preserve"> impulsar la eliminación de cualquier obstáculo, por parte de los Estados, al ejercicio del derecho de autodeterminación en ámbito de identidad sexual. Los Estados, como ya ha dejado claro el Tribunal, tienen margen de discrecionalidad limitado y tienen que promover acciones positivas que permitan a las personas transgénero sentirse seguras durante el procedimiento de cambio de sexo en los registros, que estos procedimientos se realicen de la forma más rápida, transparente y accesible posible, y sin crear una situación de sufrimiento en el solicitante. </w:t>
      </w:r>
    </w:p>
    <w:p w14:paraId="5724A037" w14:textId="18175E5F" w:rsidR="00275E0C" w:rsidRPr="006D3C51" w:rsidRDefault="001409B6"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lastRenderedPageBreak/>
        <w:t>Centrándose en los supuestos “</w:t>
      </w:r>
      <w:r w:rsidR="00D43343" w:rsidRPr="006D3C51">
        <w:rPr>
          <w:rFonts w:ascii="Times New Roman" w:hAnsi="Times New Roman" w:cs="Times New Roman"/>
          <w:sz w:val="24"/>
          <w:szCs w:val="24"/>
        </w:rPr>
        <w:t xml:space="preserve">deseos” de los </w:t>
      </w:r>
      <w:r w:rsidRPr="006D3C51">
        <w:rPr>
          <w:rFonts w:ascii="Times New Roman" w:hAnsi="Times New Roman" w:cs="Times New Roman"/>
          <w:sz w:val="24"/>
          <w:szCs w:val="24"/>
        </w:rPr>
        <w:t>transexuales</w:t>
      </w:r>
      <w:r w:rsidR="00D43343" w:rsidRPr="006D3C51">
        <w:rPr>
          <w:rFonts w:ascii="Times New Roman" w:hAnsi="Times New Roman" w:cs="Times New Roman"/>
          <w:sz w:val="24"/>
          <w:szCs w:val="24"/>
        </w:rPr>
        <w:t xml:space="preserve">, </w:t>
      </w:r>
      <w:r w:rsidRPr="006D3C51">
        <w:rPr>
          <w:rFonts w:ascii="Times New Roman" w:hAnsi="Times New Roman" w:cs="Times New Roman"/>
          <w:sz w:val="24"/>
          <w:szCs w:val="24"/>
        </w:rPr>
        <w:t xml:space="preserve">el TEDH </w:t>
      </w:r>
      <w:r w:rsidR="00E36705" w:rsidRPr="006D3C51">
        <w:rPr>
          <w:rFonts w:ascii="Times New Roman" w:hAnsi="Times New Roman" w:cs="Times New Roman"/>
          <w:sz w:val="24"/>
          <w:szCs w:val="24"/>
        </w:rPr>
        <w:t xml:space="preserve">corre el riesgo de </w:t>
      </w:r>
      <w:r w:rsidR="00D43343" w:rsidRPr="006D3C51">
        <w:rPr>
          <w:rFonts w:ascii="Times New Roman" w:hAnsi="Times New Roman" w:cs="Times New Roman"/>
          <w:sz w:val="24"/>
          <w:szCs w:val="24"/>
        </w:rPr>
        <w:t>conv</w:t>
      </w:r>
      <w:r w:rsidR="00E36705" w:rsidRPr="006D3C51">
        <w:rPr>
          <w:rFonts w:ascii="Times New Roman" w:hAnsi="Times New Roman" w:cs="Times New Roman"/>
          <w:sz w:val="24"/>
          <w:szCs w:val="24"/>
        </w:rPr>
        <w:t>ertir</w:t>
      </w:r>
      <w:r w:rsidR="00D43343" w:rsidRPr="006D3C51">
        <w:rPr>
          <w:rFonts w:ascii="Times New Roman" w:hAnsi="Times New Roman" w:cs="Times New Roman"/>
          <w:sz w:val="24"/>
          <w:szCs w:val="24"/>
        </w:rPr>
        <w:t xml:space="preserve"> en más lento y menos efectivo el proceso de reconocimiento homogéneo de los derechos de las personas transexuales en el entorno europeo. </w:t>
      </w:r>
    </w:p>
    <w:p w14:paraId="649EEF63" w14:textId="75773C21" w:rsidR="00864DEC" w:rsidRPr="006D3C51" w:rsidRDefault="00864DEC"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Con las mismas argumentaciones que utilizó en casos anterior</w:t>
      </w:r>
      <w:bookmarkStart w:id="16" w:name="_Hlk75255988"/>
      <w:r w:rsidRPr="006D3C51">
        <w:rPr>
          <w:rFonts w:ascii="Times New Roman" w:hAnsi="Times New Roman" w:cs="Times New Roman"/>
          <w:sz w:val="24"/>
          <w:szCs w:val="24"/>
        </w:rPr>
        <w:t xml:space="preserve">es (esto es, </w:t>
      </w:r>
      <w:bookmarkEnd w:id="16"/>
      <w:r w:rsidRPr="006D3C51">
        <w:rPr>
          <w:rFonts w:ascii="Times New Roman" w:hAnsi="Times New Roman" w:cs="Times New Roman"/>
          <w:sz w:val="24"/>
          <w:szCs w:val="24"/>
        </w:rPr>
        <w:t>que</w:t>
      </w:r>
      <w:r w:rsidR="00275E0C" w:rsidRPr="006D3C51">
        <w:rPr>
          <w:rFonts w:ascii="Times New Roman" w:hAnsi="Times New Roman" w:cs="Times New Roman"/>
          <w:sz w:val="24"/>
          <w:szCs w:val="24"/>
        </w:rPr>
        <w:t xml:space="preserve"> los tribunales</w:t>
      </w:r>
      <w:r w:rsidRPr="006D3C51">
        <w:rPr>
          <w:rFonts w:ascii="Times New Roman" w:hAnsi="Times New Roman" w:cs="Times New Roman"/>
          <w:sz w:val="24"/>
          <w:szCs w:val="24"/>
        </w:rPr>
        <w:t xml:space="preserve"> nacionales</w:t>
      </w:r>
      <w:r w:rsidR="00275E0C" w:rsidRPr="006D3C51">
        <w:rPr>
          <w:rFonts w:ascii="Times New Roman" w:hAnsi="Times New Roman" w:cs="Times New Roman"/>
          <w:sz w:val="24"/>
          <w:szCs w:val="24"/>
        </w:rPr>
        <w:t xml:space="preserve"> no </w:t>
      </w:r>
      <w:r w:rsidRPr="006D3C51">
        <w:rPr>
          <w:rFonts w:ascii="Times New Roman" w:hAnsi="Times New Roman" w:cs="Times New Roman"/>
          <w:sz w:val="24"/>
          <w:szCs w:val="24"/>
        </w:rPr>
        <w:t>demostraron</w:t>
      </w:r>
      <w:r w:rsidR="00275E0C" w:rsidRPr="006D3C51">
        <w:rPr>
          <w:rFonts w:ascii="Times New Roman" w:hAnsi="Times New Roman" w:cs="Times New Roman"/>
          <w:sz w:val="24"/>
          <w:szCs w:val="24"/>
        </w:rPr>
        <w:t xml:space="preserve"> la naturaleza exacta del interés general que exige no permitir el cambio legal de sexo, y no realizaron, con la debida consideración del margen de apreciación otorgado, muy limitado, un ejercicio de ponderación de este interés con el derecho de los solicitantes a que se reconociera su identidad sexual</w:t>
      </w:r>
      <w:r w:rsidRPr="006D3C51">
        <w:rPr>
          <w:rFonts w:ascii="Times New Roman" w:hAnsi="Times New Roman" w:cs="Times New Roman"/>
          <w:sz w:val="24"/>
          <w:szCs w:val="24"/>
        </w:rPr>
        <w:t xml:space="preserve">), el Tribunal Europeo </w:t>
      </w:r>
      <w:r w:rsidR="00E718CB" w:rsidRPr="006D3C51">
        <w:rPr>
          <w:rFonts w:ascii="Times New Roman" w:hAnsi="Times New Roman" w:cs="Times New Roman"/>
          <w:sz w:val="24"/>
          <w:szCs w:val="24"/>
        </w:rPr>
        <w:t>consideró que Rumania dejó, durante un período irrazonable y continuo, a los demandantes en una situación que les inspiró sentimientos de vulnerabilidad, humillación y ansiedad (</w:t>
      </w:r>
      <w:r w:rsidR="004D59F0" w:rsidRPr="006D3C51">
        <w:rPr>
          <w:rFonts w:ascii="Times New Roman" w:hAnsi="Times New Roman" w:cs="Times New Roman"/>
          <w:sz w:val="24"/>
          <w:szCs w:val="24"/>
        </w:rPr>
        <w:t>§</w:t>
      </w:r>
      <w:r w:rsidR="004D59F0">
        <w:rPr>
          <w:rFonts w:ascii="Times New Roman" w:hAnsi="Times New Roman" w:cs="Times New Roman"/>
          <w:sz w:val="24"/>
          <w:szCs w:val="24"/>
        </w:rPr>
        <w:t xml:space="preserve"> </w:t>
      </w:r>
      <w:r w:rsidR="00E718CB" w:rsidRPr="006D3C51">
        <w:rPr>
          <w:rFonts w:ascii="Times New Roman" w:hAnsi="Times New Roman" w:cs="Times New Roman"/>
          <w:sz w:val="24"/>
          <w:szCs w:val="24"/>
        </w:rPr>
        <w:t xml:space="preserve">165). </w:t>
      </w:r>
    </w:p>
    <w:p w14:paraId="5BBD1132" w14:textId="5C811496" w:rsidR="00A6264D" w:rsidRPr="006D3C51" w:rsidRDefault="006114FA"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La evolución de las legislaciones europeas sobre el particular, la ausencia de un procedimiento claro y previsible de reconocimiento legal de la identidad de género que permita el cambio de sexo en los registros de forma rápida, transparente y accesible, provocaron una violación del art. 8 CEDH. </w:t>
      </w:r>
    </w:p>
    <w:p w14:paraId="18F4C174" w14:textId="68CA2AD8" w:rsidR="00A6264D" w:rsidRPr="00617EAA" w:rsidRDefault="00A6264D"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Además, la negativa de las autoridades nacionales a reconocer la identidad masculina de los solicitantes por falta de cirugía de reasignación de género resultó en este caso en la ruptura del justo equilibrio que el Estado debe mantener entre el interés general y los </w:t>
      </w:r>
      <w:r w:rsidRPr="00617EAA">
        <w:rPr>
          <w:rFonts w:ascii="Times New Roman" w:hAnsi="Times New Roman" w:cs="Times New Roman"/>
          <w:sz w:val="24"/>
          <w:szCs w:val="24"/>
        </w:rPr>
        <w:t>intereses de los solicitantes</w:t>
      </w:r>
      <w:r w:rsidR="00BD6E51" w:rsidRPr="00617EAA">
        <w:rPr>
          <w:rFonts w:ascii="Times New Roman" w:hAnsi="Times New Roman" w:cs="Times New Roman"/>
          <w:sz w:val="24"/>
          <w:szCs w:val="24"/>
        </w:rPr>
        <w:t xml:space="preserve"> (</w:t>
      </w:r>
      <w:r w:rsidR="004D59F0" w:rsidRPr="00617EAA">
        <w:rPr>
          <w:rFonts w:ascii="Times New Roman" w:hAnsi="Times New Roman" w:cs="Times New Roman"/>
          <w:sz w:val="24"/>
          <w:szCs w:val="24"/>
        </w:rPr>
        <w:t xml:space="preserve">§§ </w:t>
      </w:r>
      <w:r w:rsidR="00BD6E51" w:rsidRPr="00617EAA">
        <w:rPr>
          <w:rFonts w:ascii="Times New Roman" w:hAnsi="Times New Roman" w:cs="Times New Roman"/>
          <w:sz w:val="24"/>
          <w:szCs w:val="24"/>
        </w:rPr>
        <w:t>166-168)</w:t>
      </w:r>
      <w:r w:rsidR="006114FA" w:rsidRPr="00617EAA">
        <w:rPr>
          <w:rFonts w:ascii="Times New Roman" w:hAnsi="Times New Roman" w:cs="Times New Roman"/>
          <w:sz w:val="24"/>
          <w:szCs w:val="24"/>
        </w:rPr>
        <w:t>.</w:t>
      </w:r>
    </w:p>
    <w:p w14:paraId="0F63D52C" w14:textId="13F3DC6D" w:rsidR="00F26F18" w:rsidRPr="006D3C51" w:rsidRDefault="00F26F18" w:rsidP="00781D53">
      <w:pPr>
        <w:spacing w:after="0" w:line="276" w:lineRule="auto"/>
        <w:jc w:val="both"/>
        <w:rPr>
          <w:rFonts w:ascii="Times New Roman" w:hAnsi="Times New Roman" w:cs="Times New Roman"/>
          <w:sz w:val="24"/>
          <w:szCs w:val="24"/>
        </w:rPr>
      </w:pPr>
      <w:r w:rsidRPr="00617EAA">
        <w:rPr>
          <w:rFonts w:ascii="Times New Roman" w:hAnsi="Times New Roman" w:cs="Times New Roman"/>
          <w:sz w:val="24"/>
          <w:szCs w:val="24"/>
        </w:rPr>
        <w:t>Como ya afirmé en otro contexto</w:t>
      </w:r>
      <w:r w:rsidRPr="00617EAA">
        <w:rPr>
          <w:rStyle w:val="Refdenotaalpie"/>
          <w:rFonts w:ascii="Times New Roman" w:hAnsi="Times New Roman" w:cs="Times New Roman"/>
          <w:sz w:val="24"/>
          <w:szCs w:val="24"/>
        </w:rPr>
        <w:footnoteReference w:id="48"/>
      </w:r>
      <w:r w:rsidR="004D59F0" w:rsidRPr="00617EAA">
        <w:rPr>
          <w:rFonts w:ascii="Times New Roman" w:hAnsi="Times New Roman" w:cs="Times New Roman"/>
          <w:sz w:val="24"/>
          <w:szCs w:val="24"/>
        </w:rPr>
        <w:t>,</w:t>
      </w:r>
      <w:r w:rsidRPr="00617EAA">
        <w:rPr>
          <w:rFonts w:ascii="Times New Roman" w:hAnsi="Times New Roman" w:cs="Times New Roman"/>
          <w:sz w:val="24"/>
          <w:szCs w:val="24"/>
        </w:rPr>
        <w:t xml:space="preserve"> </w:t>
      </w:r>
      <w:r w:rsidR="00EA26AE" w:rsidRPr="00617EAA">
        <w:rPr>
          <w:rFonts w:ascii="Times New Roman" w:hAnsi="Times New Roman" w:cs="Times New Roman"/>
          <w:sz w:val="24"/>
          <w:szCs w:val="24"/>
        </w:rPr>
        <w:t>considero que, pese al valor absolutamente positivo de esta sentencia, el Tribunal Europeo perdió una ocasión valiosa para demostrarse más contundente en la creación</w:t>
      </w:r>
      <w:r w:rsidR="00EA26AE" w:rsidRPr="006D3C51">
        <w:rPr>
          <w:rFonts w:ascii="Times New Roman" w:hAnsi="Times New Roman" w:cs="Times New Roman"/>
          <w:sz w:val="24"/>
          <w:szCs w:val="24"/>
        </w:rPr>
        <w:t xml:space="preserve"> e imposición de unos estándares mínimos muy precisos en materia de requisitos que los Estados miembros pueden exigir a la hora de autorizar un cambio de sexo en los registros civiles. </w:t>
      </w:r>
    </w:p>
    <w:p w14:paraId="1C72CEEB" w14:textId="2C9D3856" w:rsidR="00D42A14" w:rsidRPr="006D3C51" w:rsidRDefault="00D42A14"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Estos estándares mínimos tienen que ir en la dirección de eliminar cualquier requisito que siga asociando la transexualidad a una enfermedad o patología, para conseguir </w:t>
      </w:r>
      <w:r w:rsidR="00617EAA">
        <w:rPr>
          <w:rFonts w:ascii="Times New Roman" w:hAnsi="Times New Roman" w:cs="Times New Roman"/>
          <w:sz w:val="24"/>
          <w:szCs w:val="24"/>
        </w:rPr>
        <w:t>alejándose</w:t>
      </w:r>
      <w:r w:rsidRPr="006D3C51">
        <w:rPr>
          <w:rFonts w:ascii="Times New Roman" w:hAnsi="Times New Roman" w:cs="Times New Roman"/>
          <w:sz w:val="24"/>
          <w:szCs w:val="24"/>
        </w:rPr>
        <w:t xml:space="preserve"> cada vez más de la estigmatización de ese colectivo. Lo relevante en el ámbito de la identidad sexual, como ha afirmado también el TEDH, es el respeto de dignidad y de la vida privada del sujeto y, en particular, de su derecho a la autodeterminación y libre elección. </w:t>
      </w:r>
    </w:p>
    <w:p w14:paraId="71CEAA52" w14:textId="06850DED" w:rsidR="00D42A14" w:rsidRPr="006D3C51" w:rsidRDefault="00D42A14" w:rsidP="00781D53">
      <w:pPr>
        <w:spacing w:after="0" w:line="276" w:lineRule="auto"/>
        <w:jc w:val="both"/>
        <w:rPr>
          <w:rFonts w:ascii="Times New Roman" w:hAnsi="Times New Roman" w:cs="Times New Roman"/>
          <w:sz w:val="24"/>
          <w:szCs w:val="24"/>
        </w:rPr>
      </w:pPr>
      <w:r w:rsidRPr="006D3C51">
        <w:rPr>
          <w:rFonts w:ascii="Times New Roman" w:hAnsi="Times New Roman" w:cs="Times New Roman"/>
          <w:sz w:val="24"/>
          <w:szCs w:val="24"/>
        </w:rPr>
        <w:t xml:space="preserve">Todo ello, sin olvidar que estos derechos tienen que ponderarse con otros intereses igualmente relevantes, </w:t>
      </w:r>
      <w:r w:rsidR="008E0D44" w:rsidRPr="006D3C51">
        <w:rPr>
          <w:rFonts w:ascii="Times New Roman" w:hAnsi="Times New Roman" w:cs="Times New Roman"/>
          <w:sz w:val="24"/>
          <w:szCs w:val="24"/>
        </w:rPr>
        <w:t>como la preservación del principio de indisponibilidad de la condición de las personas, de la garantía de confiabilidad y consistencia del estado civil y, de manera más amplia, de la exigencia de seguridad jurídica</w:t>
      </w:r>
      <w:r w:rsidR="007A4649" w:rsidRPr="006D3C51">
        <w:rPr>
          <w:rFonts w:ascii="Times New Roman" w:hAnsi="Times New Roman" w:cs="Times New Roman"/>
          <w:sz w:val="24"/>
          <w:szCs w:val="24"/>
        </w:rPr>
        <w:t>. Todos ellos</w:t>
      </w:r>
      <w:r w:rsidR="008E0D44" w:rsidRPr="006D3C51">
        <w:rPr>
          <w:rFonts w:ascii="Times New Roman" w:hAnsi="Times New Roman" w:cs="Times New Roman"/>
          <w:sz w:val="24"/>
          <w:szCs w:val="24"/>
        </w:rPr>
        <w:t xml:space="preserve"> </w:t>
      </w:r>
      <w:r w:rsidR="007A4649" w:rsidRPr="006D3C51">
        <w:rPr>
          <w:rFonts w:ascii="Times New Roman" w:hAnsi="Times New Roman" w:cs="Times New Roman"/>
          <w:sz w:val="24"/>
          <w:szCs w:val="24"/>
        </w:rPr>
        <w:t>están comprendidos en “</w:t>
      </w:r>
      <w:r w:rsidR="008E0D44" w:rsidRPr="006D3C51">
        <w:rPr>
          <w:rFonts w:ascii="Times New Roman" w:hAnsi="Times New Roman" w:cs="Times New Roman"/>
          <w:sz w:val="24"/>
          <w:szCs w:val="24"/>
        </w:rPr>
        <w:t>el interés general</w:t>
      </w:r>
      <w:r w:rsidR="007A4649" w:rsidRPr="006D3C51">
        <w:rPr>
          <w:rFonts w:ascii="Times New Roman" w:hAnsi="Times New Roman" w:cs="Times New Roman"/>
          <w:sz w:val="24"/>
          <w:szCs w:val="24"/>
        </w:rPr>
        <w:t>” que cada Estado miembro tiene que proteger</w:t>
      </w:r>
      <w:r w:rsidR="008E0D44" w:rsidRPr="006D3C51">
        <w:rPr>
          <w:rFonts w:ascii="Times New Roman" w:hAnsi="Times New Roman" w:cs="Times New Roman"/>
          <w:sz w:val="24"/>
          <w:szCs w:val="24"/>
        </w:rPr>
        <w:t xml:space="preserve"> y</w:t>
      </w:r>
      <w:r w:rsidR="007A4649" w:rsidRPr="006D3C51">
        <w:rPr>
          <w:rFonts w:ascii="Times New Roman" w:hAnsi="Times New Roman" w:cs="Times New Roman"/>
          <w:sz w:val="24"/>
          <w:szCs w:val="24"/>
        </w:rPr>
        <w:t xml:space="preserve"> que</w:t>
      </w:r>
      <w:r w:rsidR="008E0D44" w:rsidRPr="006D3C51">
        <w:rPr>
          <w:rFonts w:ascii="Times New Roman" w:hAnsi="Times New Roman" w:cs="Times New Roman"/>
          <w:sz w:val="24"/>
          <w:szCs w:val="24"/>
        </w:rPr>
        <w:t xml:space="preserve"> justifica el establecimiento de procedimientos rigurosos</w:t>
      </w:r>
      <w:r w:rsidR="007A4649" w:rsidRPr="006D3C51">
        <w:rPr>
          <w:rFonts w:ascii="Times New Roman" w:hAnsi="Times New Roman" w:cs="Times New Roman"/>
          <w:sz w:val="24"/>
          <w:szCs w:val="24"/>
        </w:rPr>
        <w:t xml:space="preserve"> para la modificación registral del sexo</w:t>
      </w:r>
      <w:r w:rsidR="005663CA" w:rsidRPr="006D3C51">
        <w:rPr>
          <w:rStyle w:val="Refdenotaalpie"/>
          <w:rFonts w:ascii="Times New Roman" w:hAnsi="Times New Roman" w:cs="Times New Roman"/>
          <w:sz w:val="24"/>
          <w:szCs w:val="24"/>
        </w:rPr>
        <w:footnoteReference w:id="49"/>
      </w:r>
      <w:r w:rsidR="00B35B6A">
        <w:rPr>
          <w:rFonts w:ascii="Times New Roman" w:hAnsi="Times New Roman" w:cs="Times New Roman"/>
          <w:sz w:val="24"/>
          <w:szCs w:val="24"/>
        </w:rPr>
        <w:t>.</w:t>
      </w:r>
      <w:r w:rsidR="007A4649" w:rsidRPr="006D3C51">
        <w:rPr>
          <w:rFonts w:ascii="Times New Roman" w:hAnsi="Times New Roman" w:cs="Times New Roman"/>
          <w:sz w:val="24"/>
          <w:szCs w:val="24"/>
        </w:rPr>
        <w:t xml:space="preserve"> </w:t>
      </w:r>
      <w:r w:rsidR="009F5416" w:rsidRPr="006D3C51">
        <w:rPr>
          <w:rFonts w:ascii="Times New Roman" w:hAnsi="Times New Roman" w:cs="Times New Roman"/>
          <w:sz w:val="24"/>
          <w:szCs w:val="24"/>
        </w:rPr>
        <w:t xml:space="preserve">No obstante, </w:t>
      </w:r>
      <w:r w:rsidR="00D85F9E" w:rsidRPr="006D3C51">
        <w:rPr>
          <w:rFonts w:ascii="Times New Roman" w:hAnsi="Times New Roman" w:cs="Times New Roman"/>
          <w:sz w:val="24"/>
          <w:szCs w:val="24"/>
        </w:rPr>
        <w:t xml:space="preserve">no puede dudarse de la prevalencia de la protección de los derechos </w:t>
      </w:r>
      <w:r w:rsidR="00D85F9E" w:rsidRPr="006D3C51">
        <w:rPr>
          <w:rFonts w:ascii="Times New Roman" w:hAnsi="Times New Roman" w:cs="Times New Roman"/>
          <w:sz w:val="24"/>
          <w:szCs w:val="24"/>
        </w:rPr>
        <w:lastRenderedPageBreak/>
        <w:t xml:space="preserve">de los transexuales respecto del interés estatal en la seguridad jurídica en el ámbito del reconocimiento de la identidad sexual de las personas trans. </w:t>
      </w:r>
    </w:p>
    <w:p w14:paraId="74D7CDB5" w14:textId="77777777" w:rsidR="00E44224" w:rsidRPr="006D3C51" w:rsidRDefault="00E44224" w:rsidP="00781D53">
      <w:pPr>
        <w:spacing w:after="0" w:line="276" w:lineRule="auto"/>
        <w:jc w:val="both"/>
        <w:rPr>
          <w:rFonts w:ascii="Times New Roman" w:hAnsi="Times New Roman" w:cs="Times New Roman"/>
          <w:sz w:val="24"/>
          <w:szCs w:val="24"/>
        </w:rPr>
      </w:pPr>
    </w:p>
    <w:p w14:paraId="38118E21" w14:textId="5720893F" w:rsidR="00D6705B" w:rsidRDefault="00D6705B" w:rsidP="00781D53">
      <w:pPr>
        <w:spacing w:after="0" w:line="276" w:lineRule="auto"/>
        <w:jc w:val="both"/>
        <w:rPr>
          <w:rFonts w:ascii="Times New Roman" w:hAnsi="Times New Roman" w:cs="Times New Roman"/>
          <w:b/>
          <w:sz w:val="24"/>
          <w:szCs w:val="24"/>
        </w:rPr>
      </w:pPr>
      <w:r w:rsidRPr="00D6705B">
        <w:rPr>
          <w:rFonts w:ascii="Times New Roman" w:hAnsi="Times New Roman" w:cs="Times New Roman"/>
          <w:b/>
          <w:sz w:val="24"/>
          <w:szCs w:val="24"/>
        </w:rPr>
        <w:t>VII. Consideraciones conclusivas</w:t>
      </w:r>
      <w:r w:rsidR="00746F54">
        <w:rPr>
          <w:rFonts w:ascii="Times New Roman" w:hAnsi="Times New Roman" w:cs="Times New Roman"/>
          <w:b/>
          <w:sz w:val="24"/>
          <w:szCs w:val="24"/>
        </w:rPr>
        <w:t>.</w:t>
      </w:r>
    </w:p>
    <w:p w14:paraId="54C0DCBC" w14:textId="53B19F92" w:rsidR="00E44224" w:rsidRPr="006D3C51" w:rsidRDefault="00E44224" w:rsidP="00781D53">
      <w:pPr>
        <w:spacing w:after="0" w:line="276" w:lineRule="auto"/>
        <w:jc w:val="both"/>
        <w:rPr>
          <w:rFonts w:ascii="Times New Roman" w:hAnsi="Times New Roman" w:cs="Times New Roman"/>
          <w:b/>
          <w:sz w:val="24"/>
          <w:szCs w:val="24"/>
        </w:rPr>
      </w:pPr>
    </w:p>
    <w:p w14:paraId="613E3829" w14:textId="3B363528" w:rsidR="005345FA" w:rsidRDefault="00076AAC" w:rsidP="00781D5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Del análisis de la jurisprudencia del Tribunal Europeo en materia de protección de las personas transexuales frente a la negativa de los Estados a la modificación del sexo registral, en atención al ejercicio del derecho a la identidad sexual, pueden deducirse algunas reflexiones finales. </w:t>
      </w:r>
    </w:p>
    <w:p w14:paraId="29A22642" w14:textId="03E57F1D" w:rsidR="00076AAC" w:rsidRDefault="00076AAC" w:rsidP="00781D5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En primer lugar, el TEDH ha ido promoviendo, paulatinamente y en particular en las últimas dos décadas, el reconocimiento de los derechos de las personas transexuales y la necesidad de que los Estados tengan en consideración sus reivindicaciones, tanto respecto del ejercicio del derecho a la autodeterminación en el ámbito de la identidad sexual, como respecto de la protección de su integridad física y moral. </w:t>
      </w:r>
      <w:r w:rsidR="000F26F4">
        <w:rPr>
          <w:rFonts w:ascii="Times New Roman" w:hAnsi="Times New Roman" w:cs="Times New Roman"/>
          <w:sz w:val="24"/>
          <w:szCs w:val="24"/>
        </w:rPr>
        <w:t xml:space="preserve">Todos estos derechos están amparados por el Convenio Europeo, en concreto por el art. 8 CEDH. </w:t>
      </w:r>
    </w:p>
    <w:p w14:paraId="164A2E90" w14:textId="1D100399" w:rsidR="005A2487" w:rsidRDefault="005A2487" w:rsidP="00781D5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En segundo lugar, en relación con el posible conflicto entre los intereses nacionales y los derechos de las personas trans, </w:t>
      </w:r>
      <w:r w:rsidR="002A4C59">
        <w:rPr>
          <w:rFonts w:ascii="Times New Roman" w:hAnsi="Times New Roman" w:cs="Times New Roman"/>
          <w:sz w:val="24"/>
          <w:szCs w:val="24"/>
        </w:rPr>
        <w:t>el TEDH ha ido reduciendo sensiblemente el margen de apreciación que los Estados miembros del Consejo de Europa pueden invocar para limitar el ejercicio de los derechos de las personas que pertenecen al colectivo transexual y que quieren acceder al cambio de sexo en los registros civiles.</w:t>
      </w:r>
      <w:r w:rsidR="00FD27C5">
        <w:rPr>
          <w:rFonts w:ascii="Times New Roman" w:hAnsi="Times New Roman" w:cs="Times New Roman"/>
          <w:sz w:val="24"/>
          <w:szCs w:val="24"/>
        </w:rPr>
        <w:t xml:space="preserve"> Todo ello incluso antes de que pueda afirmarse que exista un consenso internacional sobre este particular.</w:t>
      </w:r>
    </w:p>
    <w:p w14:paraId="6BCA0B4C" w14:textId="440056A5" w:rsidR="000C207B" w:rsidRDefault="000C207B" w:rsidP="00781D5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Pese a que, como ya afirmé en otros contextos</w:t>
      </w:r>
      <w:r>
        <w:rPr>
          <w:rStyle w:val="Refdenotaalpie"/>
          <w:rFonts w:ascii="Times New Roman" w:hAnsi="Times New Roman" w:cs="Times New Roman"/>
          <w:sz w:val="24"/>
          <w:szCs w:val="24"/>
        </w:rPr>
        <w:footnoteReference w:id="50"/>
      </w:r>
      <w:r>
        <w:rPr>
          <w:rFonts w:ascii="Times New Roman" w:hAnsi="Times New Roman" w:cs="Times New Roman"/>
          <w:sz w:val="24"/>
          <w:szCs w:val="24"/>
        </w:rPr>
        <w:t xml:space="preserve">, </w:t>
      </w:r>
      <w:proofErr w:type="gramStart"/>
      <w:r>
        <w:rPr>
          <w:rFonts w:ascii="Times New Roman" w:hAnsi="Times New Roman" w:cs="Times New Roman"/>
          <w:sz w:val="24"/>
          <w:szCs w:val="24"/>
        </w:rPr>
        <w:t>consider</w:t>
      </w:r>
      <w:r w:rsidR="004C0603">
        <w:rPr>
          <w:rFonts w:ascii="Times New Roman" w:hAnsi="Times New Roman" w:cs="Times New Roman"/>
          <w:sz w:val="24"/>
          <w:szCs w:val="24"/>
        </w:rPr>
        <w:t>e</w:t>
      </w:r>
      <w:proofErr w:type="gramEnd"/>
      <w:r>
        <w:rPr>
          <w:rFonts w:ascii="Times New Roman" w:hAnsi="Times New Roman" w:cs="Times New Roman"/>
          <w:sz w:val="24"/>
          <w:szCs w:val="24"/>
        </w:rPr>
        <w:t xml:space="preserve"> la actuación del Tribunal Europeo todavía demasiado “prudente” a </w:t>
      </w:r>
      <w:r w:rsidR="004909AB">
        <w:rPr>
          <w:rFonts w:ascii="Times New Roman" w:hAnsi="Times New Roman" w:cs="Times New Roman"/>
          <w:sz w:val="24"/>
          <w:szCs w:val="24"/>
        </w:rPr>
        <w:t xml:space="preserve">la hora de imponer estándares mínimos de protección de este colectivo, </w:t>
      </w:r>
      <w:r w:rsidR="004C0603">
        <w:rPr>
          <w:rFonts w:ascii="Times New Roman" w:hAnsi="Times New Roman" w:cs="Times New Roman"/>
          <w:sz w:val="24"/>
          <w:szCs w:val="24"/>
        </w:rPr>
        <w:t xml:space="preserve">no puede negarse el empeño de esta institución en la dirección de una efectiva protección de las personas transexuales, con incuestionables logros en este sentido. </w:t>
      </w:r>
    </w:p>
    <w:p w14:paraId="5725973D" w14:textId="155214B0" w:rsidR="005345FA" w:rsidRDefault="005B12A6" w:rsidP="00781D5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En último lugar, y para concluir, </w:t>
      </w:r>
      <w:r w:rsidR="00B50D48">
        <w:rPr>
          <w:rFonts w:ascii="Times New Roman" w:hAnsi="Times New Roman" w:cs="Times New Roman"/>
          <w:sz w:val="24"/>
          <w:szCs w:val="24"/>
        </w:rPr>
        <w:t>es evidente</w:t>
      </w:r>
      <w:r>
        <w:rPr>
          <w:rFonts w:ascii="Times New Roman" w:hAnsi="Times New Roman" w:cs="Times New Roman"/>
          <w:sz w:val="24"/>
          <w:szCs w:val="24"/>
        </w:rPr>
        <w:t xml:space="preserve"> que</w:t>
      </w:r>
      <w:r w:rsidR="00AD55C3">
        <w:rPr>
          <w:rFonts w:ascii="Times New Roman" w:hAnsi="Times New Roman" w:cs="Times New Roman"/>
          <w:sz w:val="24"/>
          <w:szCs w:val="24"/>
        </w:rPr>
        <w:t xml:space="preserve"> </w:t>
      </w:r>
      <w:r w:rsidR="00B50D48">
        <w:rPr>
          <w:rFonts w:ascii="Times New Roman" w:hAnsi="Times New Roman" w:cs="Times New Roman"/>
          <w:sz w:val="24"/>
          <w:szCs w:val="24"/>
        </w:rPr>
        <w:t>el rol del Tribunal Europeo no se limita a resolver casos concretos. Su labor tiene, también, el propósito de crear las normas comunes de tutela de los derechos reconocidos en el Convenio que sean de aplicación en todos los Estados miembros. Atestiguan esta tendencia, además de las palabras del Juez Martens antes mencionadas, también</w:t>
      </w:r>
      <w:r w:rsidR="000F679C">
        <w:rPr>
          <w:rFonts w:ascii="Times New Roman" w:hAnsi="Times New Roman" w:cs="Times New Roman"/>
          <w:sz w:val="24"/>
          <w:szCs w:val="24"/>
        </w:rPr>
        <w:t>, de un lado, la frecuente utilización por parte del TEDH de las denominadas “sentencias piloto”</w:t>
      </w:r>
      <w:r w:rsidR="001E7080">
        <w:rPr>
          <w:rStyle w:val="Refdenotaalpie"/>
          <w:rFonts w:ascii="Times New Roman" w:hAnsi="Times New Roman" w:cs="Times New Roman"/>
          <w:sz w:val="24"/>
          <w:szCs w:val="24"/>
        </w:rPr>
        <w:footnoteReference w:id="51"/>
      </w:r>
      <w:r w:rsidR="000F679C">
        <w:rPr>
          <w:rFonts w:ascii="Times New Roman" w:hAnsi="Times New Roman" w:cs="Times New Roman"/>
          <w:sz w:val="24"/>
          <w:szCs w:val="24"/>
        </w:rPr>
        <w:t xml:space="preserve">, así como la reciente evolución de las atribuciones del Tribunal mismo. En concreto, me refiero a la entrada en vigor, en 2018, </w:t>
      </w:r>
      <w:r w:rsidR="000F679C">
        <w:rPr>
          <w:rFonts w:ascii="Times New Roman" w:hAnsi="Times New Roman" w:cs="Times New Roman"/>
          <w:sz w:val="24"/>
          <w:szCs w:val="24"/>
        </w:rPr>
        <w:lastRenderedPageBreak/>
        <w:t>del Protocolo n. 16 al Convenio Europeo</w:t>
      </w:r>
      <w:r w:rsidR="00695D75">
        <w:rPr>
          <w:rStyle w:val="Refdenotaalpie"/>
          <w:rFonts w:ascii="Times New Roman" w:hAnsi="Times New Roman" w:cs="Times New Roman"/>
          <w:sz w:val="24"/>
          <w:szCs w:val="24"/>
        </w:rPr>
        <w:footnoteReference w:id="52"/>
      </w:r>
      <w:r w:rsidR="000F679C">
        <w:rPr>
          <w:rFonts w:ascii="Times New Roman" w:hAnsi="Times New Roman" w:cs="Times New Roman"/>
          <w:sz w:val="24"/>
          <w:szCs w:val="24"/>
        </w:rPr>
        <w:t xml:space="preserve">, a través del cual se añade una competencia </w:t>
      </w:r>
      <w:r w:rsidR="00CD58A6">
        <w:rPr>
          <w:rFonts w:ascii="Times New Roman" w:hAnsi="Times New Roman" w:cs="Times New Roman"/>
          <w:sz w:val="24"/>
          <w:szCs w:val="24"/>
        </w:rPr>
        <w:t xml:space="preserve">nueva </w:t>
      </w:r>
      <w:r w:rsidR="00FD27C5">
        <w:rPr>
          <w:rFonts w:ascii="Times New Roman" w:hAnsi="Times New Roman" w:cs="Times New Roman"/>
          <w:sz w:val="24"/>
          <w:szCs w:val="24"/>
        </w:rPr>
        <w:t>de</w:t>
      </w:r>
      <w:r w:rsidR="00CD58A6">
        <w:rPr>
          <w:rFonts w:ascii="Times New Roman" w:hAnsi="Times New Roman" w:cs="Times New Roman"/>
          <w:sz w:val="24"/>
          <w:szCs w:val="24"/>
        </w:rPr>
        <w:t xml:space="preserve"> esta jurisdicción, a saber, la posibilidad de emitir opiniones consultivas respecto de dudas sobre la interpretación del Convenio Europeo que hayan surgido en el seno de un juicio concreto</w:t>
      </w:r>
      <w:r w:rsidR="00E83E71">
        <w:rPr>
          <w:rFonts w:ascii="Times New Roman" w:hAnsi="Times New Roman" w:cs="Times New Roman"/>
          <w:sz w:val="24"/>
          <w:szCs w:val="24"/>
        </w:rPr>
        <w:t xml:space="preserve"> </w:t>
      </w:r>
      <w:r w:rsidR="00AD55C3">
        <w:rPr>
          <w:rFonts w:ascii="Times New Roman" w:hAnsi="Times New Roman" w:cs="Times New Roman"/>
          <w:sz w:val="24"/>
          <w:szCs w:val="24"/>
        </w:rPr>
        <w:t>ante</w:t>
      </w:r>
      <w:r w:rsidR="00E83E71">
        <w:rPr>
          <w:rFonts w:ascii="Times New Roman" w:hAnsi="Times New Roman" w:cs="Times New Roman"/>
          <w:sz w:val="24"/>
          <w:szCs w:val="24"/>
        </w:rPr>
        <w:t xml:space="preserve"> una “alta jurisdicción” de un Estado miembro del Consejo</w:t>
      </w:r>
      <w:r w:rsidR="00CD58A6">
        <w:rPr>
          <w:rFonts w:ascii="Times New Roman" w:hAnsi="Times New Roman" w:cs="Times New Roman"/>
          <w:sz w:val="24"/>
          <w:szCs w:val="24"/>
        </w:rPr>
        <w:t xml:space="preserve"> (en relación, por tanto, con la aplicación del CEDH al </w:t>
      </w:r>
      <w:r w:rsidR="00BA7EB3">
        <w:rPr>
          <w:rFonts w:ascii="Times New Roman" w:hAnsi="Times New Roman" w:cs="Times New Roman"/>
          <w:sz w:val="24"/>
          <w:szCs w:val="24"/>
        </w:rPr>
        <w:t>supuesto mismo</w:t>
      </w:r>
      <w:r w:rsidR="00CD58A6">
        <w:rPr>
          <w:rFonts w:ascii="Times New Roman" w:hAnsi="Times New Roman" w:cs="Times New Roman"/>
          <w:sz w:val="24"/>
          <w:szCs w:val="24"/>
        </w:rPr>
        <w:t>)</w:t>
      </w:r>
      <w:r w:rsidR="00AD55C3">
        <w:rPr>
          <w:rFonts w:ascii="Times New Roman" w:hAnsi="Times New Roman" w:cs="Times New Roman"/>
          <w:sz w:val="24"/>
          <w:szCs w:val="24"/>
        </w:rPr>
        <w:t>;</w:t>
      </w:r>
      <w:r w:rsidR="00CD58A6">
        <w:rPr>
          <w:rFonts w:ascii="Times New Roman" w:hAnsi="Times New Roman" w:cs="Times New Roman"/>
          <w:sz w:val="24"/>
          <w:szCs w:val="24"/>
        </w:rPr>
        <w:t xml:space="preserve"> a</w:t>
      </w:r>
      <w:r w:rsidR="00AD55C3">
        <w:rPr>
          <w:rFonts w:ascii="Times New Roman" w:hAnsi="Times New Roman" w:cs="Times New Roman"/>
          <w:sz w:val="24"/>
          <w:szCs w:val="24"/>
        </w:rPr>
        <w:t xml:space="preserve"> ellas el</w:t>
      </w:r>
      <w:r w:rsidR="00CD58A6">
        <w:rPr>
          <w:rFonts w:ascii="Times New Roman" w:hAnsi="Times New Roman" w:cs="Times New Roman"/>
          <w:sz w:val="24"/>
          <w:szCs w:val="24"/>
        </w:rPr>
        <w:t xml:space="preserve"> TEDH contestará con respuestas generales y genéricas </w:t>
      </w:r>
      <w:r w:rsidR="004C63FC">
        <w:rPr>
          <w:rFonts w:ascii="Times New Roman" w:hAnsi="Times New Roman" w:cs="Times New Roman"/>
          <w:sz w:val="24"/>
          <w:szCs w:val="24"/>
        </w:rPr>
        <w:t xml:space="preserve">relativas a la correcta interpretación del Convenio Europeo. </w:t>
      </w:r>
      <w:r w:rsidR="00AD55C3">
        <w:rPr>
          <w:rFonts w:ascii="Times New Roman" w:hAnsi="Times New Roman" w:cs="Times New Roman"/>
          <w:sz w:val="24"/>
          <w:szCs w:val="24"/>
        </w:rPr>
        <w:t>Estos contenidos, por tanto, se sumarán a las interpretaciones proporcionadas en la jurisprudencia casuística del Tribunal, en</w:t>
      </w:r>
      <w:r w:rsidR="00F5018F">
        <w:rPr>
          <w:rFonts w:ascii="Times New Roman" w:hAnsi="Times New Roman" w:cs="Times New Roman"/>
          <w:sz w:val="24"/>
          <w:szCs w:val="24"/>
        </w:rPr>
        <w:t>tre</w:t>
      </w:r>
      <w:r w:rsidR="00AD55C3">
        <w:rPr>
          <w:rFonts w:ascii="Times New Roman" w:hAnsi="Times New Roman" w:cs="Times New Roman"/>
          <w:sz w:val="24"/>
          <w:szCs w:val="24"/>
        </w:rPr>
        <w:t xml:space="preserve"> los cuales la comunidad internacional encontrará los estándares mínimos de protección de los derechos humanos aplicable en </w:t>
      </w:r>
      <w:r w:rsidR="002739BA">
        <w:rPr>
          <w:rFonts w:ascii="Times New Roman" w:hAnsi="Times New Roman" w:cs="Times New Roman"/>
          <w:sz w:val="24"/>
          <w:szCs w:val="24"/>
        </w:rPr>
        <w:t>los ordenamientos nacionales</w:t>
      </w:r>
      <w:r w:rsidR="00AD55C3">
        <w:rPr>
          <w:rFonts w:ascii="Times New Roman" w:hAnsi="Times New Roman" w:cs="Times New Roman"/>
          <w:sz w:val="24"/>
          <w:szCs w:val="24"/>
        </w:rPr>
        <w:t xml:space="preserve">. </w:t>
      </w:r>
    </w:p>
    <w:p w14:paraId="7BC5E447" w14:textId="3C472D09" w:rsidR="00BA7EB3" w:rsidRDefault="00BA7EB3" w:rsidP="00781D5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Es fundamental, por tanto, que el Tribunal Europeo siga desempeñando ese rol en la producción de unas normas comunes claras y firmes que guíen las actuaciones de los Estados miembros, tanto respecto de la protección de los derechos de las personas transexuales, como de cualquier persona o colectivo en situación de vulnerabilidad.  </w:t>
      </w:r>
    </w:p>
    <w:p w14:paraId="0E7FC6DC" w14:textId="77777777" w:rsidR="005345FA" w:rsidRDefault="005345FA" w:rsidP="00781D53">
      <w:pPr>
        <w:spacing w:after="0" w:line="276" w:lineRule="auto"/>
        <w:jc w:val="both"/>
        <w:rPr>
          <w:rFonts w:ascii="Times New Roman" w:hAnsi="Times New Roman" w:cs="Times New Roman"/>
          <w:sz w:val="24"/>
          <w:szCs w:val="24"/>
        </w:rPr>
      </w:pPr>
    </w:p>
    <w:p w14:paraId="518A8687" w14:textId="77777777" w:rsidR="00E92AD0" w:rsidRDefault="00E92AD0" w:rsidP="00781D53">
      <w:pPr>
        <w:spacing w:after="0" w:line="360" w:lineRule="auto"/>
        <w:jc w:val="both"/>
        <w:rPr>
          <w:rFonts w:ascii="Times New Roman" w:eastAsia="Calibri" w:hAnsi="Times New Roman" w:cs="Times New Roman"/>
          <w:b/>
          <w:sz w:val="24"/>
          <w:szCs w:val="24"/>
        </w:rPr>
      </w:pPr>
      <w:bookmarkStart w:id="17" w:name="_Hlk95213641"/>
      <w:bookmarkStart w:id="18" w:name="_Hlk95213758"/>
    </w:p>
    <w:bookmarkEnd w:id="17"/>
    <w:bookmarkEnd w:id="18"/>
    <w:p w14:paraId="21509A99" w14:textId="77777777" w:rsidR="001F5C90" w:rsidRPr="006D3C51" w:rsidRDefault="001F5C90" w:rsidP="00781D53">
      <w:pPr>
        <w:spacing w:after="0" w:line="276" w:lineRule="auto"/>
        <w:jc w:val="both"/>
        <w:rPr>
          <w:rFonts w:ascii="Times New Roman" w:hAnsi="Times New Roman" w:cs="Times New Roman"/>
          <w:sz w:val="24"/>
          <w:szCs w:val="24"/>
        </w:rPr>
      </w:pPr>
    </w:p>
    <w:sectPr w:rsidR="001F5C90" w:rsidRPr="006D3C51">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A3CDA" w14:textId="77777777" w:rsidR="00C16147" w:rsidRDefault="00C16147" w:rsidP="00DC6D6D">
      <w:pPr>
        <w:spacing w:after="0" w:line="240" w:lineRule="auto"/>
      </w:pPr>
      <w:r>
        <w:separator/>
      </w:r>
    </w:p>
  </w:endnote>
  <w:endnote w:type="continuationSeparator" w:id="0">
    <w:p w14:paraId="1D0FD70E" w14:textId="77777777" w:rsidR="00C16147" w:rsidRDefault="00C16147" w:rsidP="00DC6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3891312"/>
      <w:docPartObj>
        <w:docPartGallery w:val="Page Numbers (Bottom of Page)"/>
        <w:docPartUnique/>
      </w:docPartObj>
    </w:sdtPr>
    <w:sdtEndPr>
      <w:rPr>
        <w:sz w:val="16"/>
        <w:szCs w:val="16"/>
      </w:rPr>
    </w:sdtEndPr>
    <w:sdtContent>
      <w:p w14:paraId="7BE2A593" w14:textId="5B44FFBB" w:rsidR="007B344A" w:rsidRPr="00EE1772" w:rsidRDefault="007B344A">
        <w:pPr>
          <w:pStyle w:val="Piedepgina"/>
          <w:jc w:val="right"/>
          <w:rPr>
            <w:sz w:val="16"/>
            <w:szCs w:val="16"/>
          </w:rPr>
        </w:pPr>
        <w:r w:rsidRPr="00EE1772">
          <w:rPr>
            <w:sz w:val="16"/>
            <w:szCs w:val="16"/>
          </w:rPr>
          <w:fldChar w:fldCharType="begin"/>
        </w:r>
        <w:r w:rsidRPr="00EE1772">
          <w:rPr>
            <w:sz w:val="16"/>
            <w:szCs w:val="16"/>
          </w:rPr>
          <w:instrText>PAGE   \* MERGEFORMAT</w:instrText>
        </w:r>
        <w:r w:rsidRPr="00EE1772">
          <w:rPr>
            <w:sz w:val="16"/>
            <w:szCs w:val="16"/>
          </w:rPr>
          <w:fldChar w:fldCharType="separate"/>
        </w:r>
        <w:r w:rsidRPr="00EE1772">
          <w:rPr>
            <w:sz w:val="16"/>
            <w:szCs w:val="16"/>
          </w:rPr>
          <w:t>2</w:t>
        </w:r>
        <w:r w:rsidRPr="00EE1772">
          <w:rPr>
            <w:sz w:val="16"/>
            <w:szCs w:val="16"/>
          </w:rPr>
          <w:fldChar w:fldCharType="end"/>
        </w:r>
      </w:p>
    </w:sdtContent>
  </w:sdt>
  <w:p w14:paraId="57DA1977" w14:textId="77777777" w:rsidR="007B344A" w:rsidRPr="00EE1772" w:rsidRDefault="007B344A">
    <w:pPr>
      <w:pStyle w:val="Piedep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4E874" w14:textId="77777777" w:rsidR="00C16147" w:rsidRDefault="00C16147" w:rsidP="00DC6D6D">
      <w:pPr>
        <w:spacing w:after="0" w:line="240" w:lineRule="auto"/>
      </w:pPr>
      <w:r>
        <w:separator/>
      </w:r>
    </w:p>
  </w:footnote>
  <w:footnote w:type="continuationSeparator" w:id="0">
    <w:p w14:paraId="135FA25E" w14:textId="77777777" w:rsidR="00C16147" w:rsidRDefault="00C16147" w:rsidP="00DC6D6D">
      <w:pPr>
        <w:spacing w:after="0" w:line="240" w:lineRule="auto"/>
      </w:pPr>
      <w:r>
        <w:continuationSeparator/>
      </w:r>
    </w:p>
  </w:footnote>
  <w:footnote w:id="1">
    <w:p w14:paraId="2F0E02A3" w14:textId="228061AD" w:rsidR="007B344A" w:rsidRPr="00AE78CD" w:rsidRDefault="007B344A" w:rsidP="00AE78CD">
      <w:pPr>
        <w:pStyle w:val="Textonotapie"/>
        <w:jc w:val="both"/>
        <w:rPr>
          <w:rFonts w:ascii="Times New Roman" w:hAnsi="Times New Roman" w:cs="Times New Roman"/>
        </w:rPr>
      </w:pPr>
      <w:r w:rsidRPr="00AE78CD">
        <w:rPr>
          <w:rStyle w:val="Refdenotaalpie"/>
          <w:rFonts w:ascii="Times New Roman" w:hAnsi="Times New Roman" w:cs="Times New Roman"/>
        </w:rPr>
        <w:footnoteRef/>
      </w:r>
      <w:r w:rsidRPr="00AE78CD">
        <w:rPr>
          <w:rFonts w:ascii="Times New Roman" w:hAnsi="Times New Roman" w:cs="Times New Roman"/>
        </w:rPr>
        <w:t xml:space="preserve"> Piensen, entre otros, a la sentencia del TEDH relativa al caso Rumasa (Sentencia del Tribunal Europeo de Derechos Humanos, 23 de junio de 1993, asunto </w:t>
      </w:r>
      <w:r w:rsidRPr="00AE78CD">
        <w:rPr>
          <w:rFonts w:ascii="Times New Roman" w:hAnsi="Times New Roman" w:cs="Times New Roman"/>
          <w:i/>
        </w:rPr>
        <w:t>Ruiz Mateos c. España</w:t>
      </w:r>
      <w:r w:rsidRPr="00AE78CD">
        <w:rPr>
          <w:rFonts w:ascii="Times New Roman" w:hAnsi="Times New Roman" w:cs="Times New Roman"/>
        </w:rPr>
        <w:t xml:space="preserve">) y la consiguiente reforma de la LOTC de 2007; o la aprobación de la ley italiana sobre uniones civiles para las parejas del mismo sexo después de la condena del TEDH en la sentencia de 21 de julio de 2015, asunto </w:t>
      </w:r>
      <w:proofErr w:type="spellStart"/>
      <w:r w:rsidRPr="00AE78CD">
        <w:rPr>
          <w:rFonts w:ascii="Times New Roman" w:hAnsi="Times New Roman" w:cs="Times New Roman"/>
          <w:i/>
        </w:rPr>
        <w:t>Oliari</w:t>
      </w:r>
      <w:proofErr w:type="spellEnd"/>
      <w:r w:rsidRPr="00AE78CD">
        <w:rPr>
          <w:rFonts w:ascii="Times New Roman" w:hAnsi="Times New Roman" w:cs="Times New Roman"/>
          <w:i/>
        </w:rPr>
        <w:t xml:space="preserve"> et al. C. Italia</w:t>
      </w:r>
      <w:r w:rsidRPr="00AE78CD">
        <w:rPr>
          <w:rFonts w:ascii="Times New Roman" w:hAnsi="Times New Roman" w:cs="Times New Roman"/>
        </w:rPr>
        <w:t xml:space="preserve">. En doctrina, véanse, respectivamente, Á. G. CHUECA SANCHO, «La sentencia dictada por el Tribunal Europeo de Derechos Humanos en el caso Ruiz Mateos», </w:t>
      </w:r>
      <w:r w:rsidRPr="00AE78CD">
        <w:rPr>
          <w:rFonts w:ascii="Times New Roman" w:hAnsi="Times New Roman" w:cs="Times New Roman"/>
          <w:i/>
        </w:rPr>
        <w:t>Derechos y Libertades: revista del Instituto Bartolomé de las Casas</w:t>
      </w:r>
      <w:r w:rsidRPr="00AE78CD">
        <w:rPr>
          <w:rFonts w:ascii="Times New Roman" w:hAnsi="Times New Roman" w:cs="Times New Roman"/>
        </w:rPr>
        <w:t>, II, n. 3, 1994, p. 553-570; G. VIGGIANI, «</w:t>
      </w:r>
      <w:proofErr w:type="spellStart"/>
      <w:r w:rsidRPr="00AE78CD">
        <w:rPr>
          <w:rFonts w:ascii="Times New Roman" w:hAnsi="Times New Roman" w:cs="Times New Roman"/>
        </w:rPr>
        <w:t>L'inerzia</w:t>
      </w:r>
      <w:proofErr w:type="spellEnd"/>
      <w:r w:rsidRPr="00AE78CD">
        <w:rPr>
          <w:rFonts w:ascii="Times New Roman" w:hAnsi="Times New Roman" w:cs="Times New Roman"/>
        </w:rPr>
        <w:t xml:space="preserve"> del </w:t>
      </w:r>
      <w:proofErr w:type="spellStart"/>
      <w:r w:rsidRPr="00AE78CD">
        <w:rPr>
          <w:rFonts w:ascii="Times New Roman" w:hAnsi="Times New Roman" w:cs="Times New Roman"/>
        </w:rPr>
        <w:t>legislatore</w:t>
      </w:r>
      <w:proofErr w:type="spellEnd"/>
      <w:r w:rsidRPr="00AE78CD">
        <w:rPr>
          <w:rFonts w:ascii="Times New Roman" w:hAnsi="Times New Roman" w:cs="Times New Roman"/>
        </w:rPr>
        <w:t xml:space="preserve"> e </w:t>
      </w:r>
      <w:proofErr w:type="spellStart"/>
      <w:r w:rsidRPr="00AE78CD">
        <w:rPr>
          <w:rFonts w:ascii="Times New Roman" w:hAnsi="Times New Roman" w:cs="Times New Roman"/>
        </w:rPr>
        <w:t>il</w:t>
      </w:r>
      <w:proofErr w:type="spellEnd"/>
      <w:r w:rsidRPr="00AE78CD">
        <w:rPr>
          <w:rFonts w:ascii="Times New Roman" w:hAnsi="Times New Roman" w:cs="Times New Roman"/>
        </w:rPr>
        <w:t xml:space="preserve"> caso </w:t>
      </w:r>
      <w:proofErr w:type="spellStart"/>
      <w:r w:rsidRPr="00AE78CD">
        <w:rPr>
          <w:rFonts w:ascii="Times New Roman" w:hAnsi="Times New Roman" w:cs="Times New Roman"/>
        </w:rPr>
        <w:t>Oliari</w:t>
      </w:r>
      <w:proofErr w:type="spellEnd"/>
      <w:r w:rsidRPr="00AE78CD">
        <w:rPr>
          <w:rFonts w:ascii="Times New Roman" w:hAnsi="Times New Roman" w:cs="Times New Roman"/>
        </w:rPr>
        <w:t xml:space="preserve"> e </w:t>
      </w:r>
      <w:proofErr w:type="spellStart"/>
      <w:r w:rsidRPr="00AE78CD">
        <w:rPr>
          <w:rFonts w:ascii="Times New Roman" w:hAnsi="Times New Roman" w:cs="Times New Roman"/>
        </w:rPr>
        <w:t>altri</w:t>
      </w:r>
      <w:proofErr w:type="spellEnd"/>
      <w:r w:rsidRPr="00AE78CD">
        <w:rPr>
          <w:rFonts w:ascii="Times New Roman" w:hAnsi="Times New Roman" w:cs="Times New Roman"/>
        </w:rPr>
        <w:t xml:space="preserve"> c. Italia», </w:t>
      </w:r>
      <w:proofErr w:type="spellStart"/>
      <w:r w:rsidRPr="00AE78CD">
        <w:rPr>
          <w:rFonts w:ascii="Times New Roman" w:hAnsi="Times New Roman" w:cs="Times New Roman"/>
          <w:i/>
        </w:rPr>
        <w:t>Ragion</w:t>
      </w:r>
      <w:proofErr w:type="spellEnd"/>
      <w:r w:rsidRPr="00AE78CD">
        <w:rPr>
          <w:rFonts w:ascii="Times New Roman" w:hAnsi="Times New Roman" w:cs="Times New Roman"/>
          <w:i/>
        </w:rPr>
        <w:t xml:space="preserve"> </w:t>
      </w:r>
      <w:proofErr w:type="spellStart"/>
      <w:r w:rsidRPr="00AE78CD">
        <w:rPr>
          <w:rFonts w:ascii="Times New Roman" w:hAnsi="Times New Roman" w:cs="Times New Roman"/>
          <w:i/>
        </w:rPr>
        <w:t>pratica</w:t>
      </w:r>
      <w:proofErr w:type="spellEnd"/>
      <w:r w:rsidRPr="00AE78CD">
        <w:rPr>
          <w:rFonts w:ascii="Times New Roman" w:hAnsi="Times New Roman" w:cs="Times New Roman"/>
        </w:rPr>
        <w:t xml:space="preserve">, n. 46, 2016, p. 261-268. </w:t>
      </w:r>
    </w:p>
  </w:footnote>
  <w:footnote w:id="2">
    <w:p w14:paraId="78D5290D" w14:textId="3C918744" w:rsidR="007B344A" w:rsidRPr="00AE78CD" w:rsidRDefault="007B344A" w:rsidP="00AE78CD">
      <w:pPr>
        <w:pStyle w:val="Textonotapie"/>
        <w:jc w:val="both"/>
        <w:rPr>
          <w:rFonts w:ascii="Times New Roman" w:hAnsi="Times New Roman" w:cs="Times New Roman"/>
        </w:rPr>
      </w:pPr>
      <w:r w:rsidRPr="00AE78CD">
        <w:rPr>
          <w:rStyle w:val="Refdenotaalpie"/>
          <w:rFonts w:ascii="Times New Roman" w:hAnsi="Times New Roman" w:cs="Times New Roman"/>
        </w:rPr>
        <w:footnoteRef/>
      </w:r>
      <w:r w:rsidRPr="00AE78CD">
        <w:rPr>
          <w:rFonts w:ascii="Times New Roman" w:hAnsi="Times New Roman" w:cs="Times New Roman"/>
        </w:rPr>
        <w:t xml:space="preserve"> Asimismo, respecto de la violación del art. 12 CEDH, el TEDH ha aplicado (hasta 2002) la misma doctrina relativa a los matrimonios entre personas del mismo sexo, que poco (o nada) tiene que ver con las problemáticas que nos ocupan en este artículo; sobre el particular, v. F. M. RUIZ-RISUEÑO MONTOYA, «Los derechos de las personas LGTB en la jurisprudencia del Tribunal Europeo de Derechos Humanos», en F. J. </w:t>
      </w:r>
      <w:proofErr w:type="spellStart"/>
      <w:r w:rsidRPr="00AE78CD">
        <w:rPr>
          <w:rFonts w:ascii="Times New Roman" w:hAnsi="Times New Roman" w:cs="Times New Roman"/>
        </w:rPr>
        <w:t>Matia</w:t>
      </w:r>
      <w:proofErr w:type="spellEnd"/>
      <w:r w:rsidRPr="00AE78CD">
        <w:rPr>
          <w:rFonts w:ascii="Times New Roman" w:hAnsi="Times New Roman" w:cs="Times New Roman"/>
        </w:rPr>
        <w:t xml:space="preserve"> Portilla, A. Elvira Perales, A. Arroyo Gil (</w:t>
      </w:r>
      <w:proofErr w:type="spellStart"/>
      <w:r w:rsidRPr="00AE78CD">
        <w:rPr>
          <w:rFonts w:ascii="Times New Roman" w:hAnsi="Times New Roman" w:cs="Times New Roman"/>
        </w:rPr>
        <w:t>dirs</w:t>
      </w:r>
      <w:proofErr w:type="spellEnd"/>
      <w:r w:rsidRPr="00AE78CD">
        <w:rPr>
          <w:rFonts w:ascii="Times New Roman" w:hAnsi="Times New Roman" w:cs="Times New Roman"/>
        </w:rPr>
        <w:t xml:space="preserve">.), </w:t>
      </w:r>
      <w:r w:rsidRPr="00AE78CD">
        <w:rPr>
          <w:rFonts w:ascii="Times New Roman" w:hAnsi="Times New Roman" w:cs="Times New Roman"/>
          <w:i/>
        </w:rPr>
        <w:t>La protección de los derechos fundamentales de las personas LGTBI</w:t>
      </w:r>
      <w:r w:rsidRPr="00AE78CD">
        <w:rPr>
          <w:rFonts w:ascii="Times New Roman" w:hAnsi="Times New Roman" w:cs="Times New Roman"/>
        </w:rPr>
        <w:t xml:space="preserve">, Tirant lo Blanch, Valencia, 2019; S. ROMBOLI, «La protección de las parejas homosexuales frente a la discriminación en la evolución de la jurisprudencia del Tribunal Europeo: pasado, presente y unas previsiones para el futuro», </w:t>
      </w:r>
      <w:r w:rsidRPr="00AE78CD">
        <w:rPr>
          <w:rFonts w:ascii="Times New Roman" w:hAnsi="Times New Roman" w:cs="Times New Roman"/>
          <w:i/>
        </w:rPr>
        <w:t>Anales de derecho</w:t>
      </w:r>
      <w:r w:rsidRPr="00AE78CD">
        <w:rPr>
          <w:rFonts w:ascii="Times New Roman" w:hAnsi="Times New Roman" w:cs="Times New Roman"/>
        </w:rPr>
        <w:t xml:space="preserve">, n. Extra 1, 2020 (Ejemplar dedicado a: El TEDH en su sesenta aniversario), pp. 1-39.  </w:t>
      </w:r>
    </w:p>
  </w:footnote>
  <w:footnote w:id="3">
    <w:p w14:paraId="5410ECDD" w14:textId="23DA67EF" w:rsidR="007B344A" w:rsidRPr="00AE78CD" w:rsidRDefault="007B344A" w:rsidP="00AE78CD">
      <w:pPr>
        <w:pStyle w:val="Textonotapie"/>
        <w:jc w:val="both"/>
        <w:rPr>
          <w:rFonts w:ascii="Times New Roman" w:hAnsi="Times New Roman" w:cs="Times New Roman"/>
        </w:rPr>
      </w:pPr>
      <w:r w:rsidRPr="00AE78CD">
        <w:rPr>
          <w:rStyle w:val="Refdenotaalpie"/>
          <w:rFonts w:ascii="Times New Roman" w:hAnsi="Times New Roman" w:cs="Times New Roman"/>
        </w:rPr>
        <w:footnoteRef/>
      </w:r>
      <w:r w:rsidRPr="00AE78CD">
        <w:rPr>
          <w:rFonts w:ascii="Times New Roman" w:hAnsi="Times New Roman" w:cs="Times New Roman"/>
        </w:rPr>
        <w:t xml:space="preserve"> Algunas de las reflexiones y parte de la crónica de jurisprudencia del TEDH presentes en este trabajo han sido publicadas en la </w:t>
      </w:r>
      <w:r w:rsidRPr="00AE78CD">
        <w:rPr>
          <w:rFonts w:ascii="Times New Roman" w:hAnsi="Times New Roman" w:cs="Times New Roman"/>
          <w:i/>
        </w:rPr>
        <w:t xml:space="preserve">Revista Catalana de </w:t>
      </w:r>
      <w:proofErr w:type="spellStart"/>
      <w:r w:rsidRPr="00AE78CD">
        <w:rPr>
          <w:rFonts w:ascii="Times New Roman" w:hAnsi="Times New Roman" w:cs="Times New Roman"/>
          <w:i/>
        </w:rPr>
        <w:t>Dret</w:t>
      </w:r>
      <w:proofErr w:type="spellEnd"/>
      <w:r w:rsidRPr="00AE78CD">
        <w:rPr>
          <w:rFonts w:ascii="Times New Roman" w:hAnsi="Times New Roman" w:cs="Times New Roman"/>
          <w:i/>
        </w:rPr>
        <w:t xml:space="preserve"> </w:t>
      </w:r>
      <w:proofErr w:type="spellStart"/>
      <w:r w:rsidRPr="00AE78CD">
        <w:rPr>
          <w:rFonts w:ascii="Times New Roman" w:hAnsi="Times New Roman" w:cs="Times New Roman"/>
          <w:i/>
        </w:rPr>
        <w:t>Públic</w:t>
      </w:r>
      <w:proofErr w:type="spellEnd"/>
      <w:r w:rsidRPr="00AE78CD">
        <w:rPr>
          <w:rFonts w:ascii="Times New Roman" w:hAnsi="Times New Roman" w:cs="Times New Roman"/>
        </w:rPr>
        <w:t>, n. 63 (</w:t>
      </w:r>
      <w:bookmarkStart w:id="3" w:name="_Hlk101302558"/>
      <w:r w:rsidRPr="00AE78CD">
        <w:rPr>
          <w:rFonts w:ascii="Times New Roman" w:hAnsi="Times New Roman" w:cs="Times New Roman"/>
        </w:rPr>
        <w:t xml:space="preserve">S. ROMBOLI, «El derecho a la identidad sexual en la interpretación del Tribunal Europeo de Derechos Humanos, entre margen de apreciación nacional y creación de normas comunes», </w:t>
      </w:r>
      <w:r w:rsidRPr="00AE78CD">
        <w:rPr>
          <w:rFonts w:ascii="Times New Roman" w:hAnsi="Times New Roman" w:cs="Times New Roman"/>
          <w:i/>
        </w:rPr>
        <w:t xml:space="preserve">Revista Catalana de </w:t>
      </w:r>
      <w:proofErr w:type="spellStart"/>
      <w:r w:rsidRPr="00AE78CD">
        <w:rPr>
          <w:rFonts w:ascii="Times New Roman" w:hAnsi="Times New Roman" w:cs="Times New Roman"/>
          <w:i/>
        </w:rPr>
        <w:t>Dret</w:t>
      </w:r>
      <w:proofErr w:type="spellEnd"/>
      <w:r w:rsidRPr="00AE78CD">
        <w:rPr>
          <w:rFonts w:ascii="Times New Roman" w:hAnsi="Times New Roman" w:cs="Times New Roman"/>
          <w:i/>
        </w:rPr>
        <w:t xml:space="preserve"> </w:t>
      </w:r>
      <w:proofErr w:type="spellStart"/>
      <w:r w:rsidRPr="00AE78CD">
        <w:rPr>
          <w:rFonts w:ascii="Times New Roman" w:hAnsi="Times New Roman" w:cs="Times New Roman"/>
          <w:i/>
        </w:rPr>
        <w:t>Públic</w:t>
      </w:r>
      <w:proofErr w:type="spellEnd"/>
      <w:r w:rsidRPr="00AE78CD">
        <w:rPr>
          <w:rFonts w:ascii="Times New Roman" w:hAnsi="Times New Roman" w:cs="Times New Roman"/>
        </w:rPr>
        <w:t>, 63, pp. 231-249</w:t>
      </w:r>
      <w:bookmarkEnd w:id="3"/>
      <w:r w:rsidRPr="00AE78CD">
        <w:rPr>
          <w:rFonts w:ascii="Times New Roman" w:hAnsi="Times New Roman" w:cs="Times New Roman"/>
        </w:rPr>
        <w:t xml:space="preserve">), aceptado en su versión definitiva en septiembre de 2021. </w:t>
      </w:r>
    </w:p>
  </w:footnote>
  <w:footnote w:id="4">
    <w:p w14:paraId="310869B3" w14:textId="1CBFE8B7" w:rsidR="007B344A" w:rsidRPr="00AE78CD" w:rsidRDefault="007B344A" w:rsidP="00AE78CD">
      <w:pPr>
        <w:pStyle w:val="Textonotapie"/>
        <w:jc w:val="both"/>
        <w:rPr>
          <w:rFonts w:ascii="Times New Roman" w:hAnsi="Times New Roman" w:cs="Times New Roman"/>
        </w:rPr>
      </w:pPr>
      <w:r w:rsidRPr="00AE78CD">
        <w:rPr>
          <w:rStyle w:val="Refdenotaalpie"/>
          <w:rFonts w:ascii="Times New Roman" w:hAnsi="Times New Roman" w:cs="Times New Roman"/>
        </w:rPr>
        <w:footnoteRef/>
      </w:r>
      <w:r w:rsidRPr="00AE78CD">
        <w:rPr>
          <w:rFonts w:ascii="Times New Roman" w:hAnsi="Times New Roman" w:cs="Times New Roman"/>
        </w:rPr>
        <w:t xml:space="preserve"> </w:t>
      </w:r>
      <w:hyperlink r:id="rId1" w:anchor="{%22languageisocode%22:[%22FRE%22],%22appno%22:[%227654/76%22],%22documentcollectionid2%22:[%22CHAMBER%22],%22itemid%22:[%22001-62107%22]}" w:history="1">
        <w:r w:rsidRPr="00AE78CD">
          <w:rPr>
            <w:rStyle w:val="Hipervnculo"/>
            <w:rFonts w:ascii="Times New Roman" w:hAnsi="Times New Roman" w:cs="Times New Roman"/>
          </w:rPr>
          <w:t>https://hudoc.echr.coe.int/fre#{%22languageisocode%22:[%22FRE%22],%22appno%22:[%227654/76%22],%22documentcollectionid2%22:[%22CHAMBER%22],%22itemid%22:[%22001-62107%22]}</w:t>
        </w:r>
      </w:hyperlink>
      <w:r w:rsidRPr="00AE78CD">
        <w:rPr>
          <w:rFonts w:ascii="Times New Roman" w:hAnsi="Times New Roman" w:cs="Times New Roman"/>
        </w:rPr>
        <w:t xml:space="preserve">. </w:t>
      </w:r>
    </w:p>
  </w:footnote>
  <w:footnote w:id="5">
    <w:p w14:paraId="6CFB242D" w14:textId="19A6FA89" w:rsidR="007B344A" w:rsidRPr="00AE78CD" w:rsidRDefault="007B344A" w:rsidP="00AE78CD">
      <w:pPr>
        <w:pStyle w:val="Textonotapie"/>
        <w:jc w:val="both"/>
        <w:rPr>
          <w:rFonts w:ascii="Times New Roman" w:hAnsi="Times New Roman" w:cs="Times New Roman"/>
        </w:rPr>
      </w:pPr>
      <w:r w:rsidRPr="00AE78CD">
        <w:rPr>
          <w:rStyle w:val="Refdenotaalpie"/>
          <w:rFonts w:ascii="Times New Roman" w:hAnsi="Times New Roman" w:cs="Times New Roman"/>
        </w:rPr>
        <w:footnoteRef/>
      </w:r>
      <w:r w:rsidRPr="00AE78CD">
        <w:rPr>
          <w:rFonts w:ascii="Times New Roman" w:hAnsi="Times New Roman" w:cs="Times New Roman"/>
        </w:rPr>
        <w:t xml:space="preserve"> Pese a ello, el voto particular del Juez Ganshof Van Der </w:t>
      </w:r>
      <w:proofErr w:type="spellStart"/>
      <w:r w:rsidRPr="00AE78CD">
        <w:rPr>
          <w:rFonts w:ascii="Times New Roman" w:hAnsi="Times New Roman" w:cs="Times New Roman"/>
        </w:rPr>
        <w:t>Meersch</w:t>
      </w:r>
      <w:proofErr w:type="spellEnd"/>
      <w:r w:rsidRPr="00AE78CD">
        <w:rPr>
          <w:rFonts w:ascii="Times New Roman" w:hAnsi="Times New Roman" w:cs="Times New Roman"/>
        </w:rPr>
        <w:t xml:space="preserve"> menciona algunos elementos que merece la pena evidenciar, pues testimonian la (poca) importancia que tenía, en aquella época, la exigencia de las personas transexuales de ver reconocida su identidad sexual a nivel administrativo. En efecto, el juez afirmó que “</w:t>
      </w:r>
      <w:r w:rsidRPr="00AE78CD">
        <w:rPr>
          <w:rFonts w:ascii="Times New Roman" w:hAnsi="Times New Roman" w:cs="Times New Roman"/>
          <w:i/>
        </w:rPr>
        <w:t>la acción de rectificación de un documento de estado civil se beneficia de un procedimiento rápido debido a los intereses relativamente mínimos involucrados</w:t>
      </w:r>
      <w:r w:rsidRPr="00AE78CD">
        <w:rPr>
          <w:rFonts w:ascii="Times New Roman" w:hAnsi="Times New Roman" w:cs="Times New Roman"/>
        </w:rPr>
        <w:t xml:space="preserve">” (17) y que </w:t>
      </w:r>
      <w:r w:rsidRPr="00AE78CD">
        <w:rPr>
          <w:rFonts w:ascii="Times New Roman" w:hAnsi="Times New Roman" w:cs="Times New Roman"/>
          <w:i/>
        </w:rPr>
        <w:t>“[e]l estado de las personas no está disponible. Es de orden público. No imaginamos que pueda ser objeto de un trámite de simple solicitud, sin requerir siquiera un carácter contradictorio, como es el caso de la acción de rectificación del documento de estado civil. […] El individuo […] no puede disponer de ella ni modificarla</w:t>
      </w:r>
      <w:r w:rsidRPr="00AE78CD">
        <w:rPr>
          <w:rFonts w:ascii="Times New Roman" w:hAnsi="Times New Roman" w:cs="Times New Roman"/>
        </w:rPr>
        <w:t>” (19).</w:t>
      </w:r>
    </w:p>
  </w:footnote>
  <w:footnote w:id="6">
    <w:p w14:paraId="7C3895EB" w14:textId="77777777" w:rsidR="007B344A" w:rsidRPr="00AE78CD" w:rsidRDefault="007B344A" w:rsidP="00AE78CD">
      <w:pPr>
        <w:pStyle w:val="Textonotapie"/>
        <w:jc w:val="both"/>
        <w:rPr>
          <w:rFonts w:ascii="Times New Roman" w:hAnsi="Times New Roman" w:cs="Times New Roman"/>
        </w:rPr>
      </w:pPr>
      <w:r w:rsidRPr="00AE78CD">
        <w:rPr>
          <w:rStyle w:val="Refdenotaalpie"/>
          <w:rFonts w:ascii="Times New Roman" w:hAnsi="Times New Roman" w:cs="Times New Roman"/>
        </w:rPr>
        <w:footnoteRef/>
      </w:r>
      <w:r w:rsidRPr="00AE78CD">
        <w:rPr>
          <w:rFonts w:ascii="Times New Roman" w:hAnsi="Times New Roman" w:cs="Times New Roman"/>
        </w:rPr>
        <w:t xml:space="preserve"> </w:t>
      </w:r>
      <w:hyperlink r:id="rId2" w:anchor="{%22languageisocode%22:[%22SPA%22],%22appno%22:[%229532/81%22],%22documentcollectionid2%22:[%22CHAMBER%22],%22itemid%22:[%22001-165098%22]}" w:history="1">
        <w:r w:rsidRPr="00AE78CD">
          <w:rPr>
            <w:rStyle w:val="Hipervnculo"/>
            <w:rFonts w:ascii="Times New Roman" w:hAnsi="Times New Roman" w:cs="Times New Roman"/>
          </w:rPr>
          <w:t>https://hudoc.echr.coe.int/fre#{%22languageisocode%22:[%22SPA%22],%22appno%22:[%229532/81%22],%22documentcollectionid2%22:[%22CHAMBER%22],%22itemid%22:[%22001-165098%22]}</w:t>
        </w:r>
      </w:hyperlink>
      <w:r w:rsidRPr="00AE78CD">
        <w:rPr>
          <w:rFonts w:ascii="Times New Roman" w:hAnsi="Times New Roman" w:cs="Times New Roman"/>
        </w:rPr>
        <w:t xml:space="preserve"> </w:t>
      </w:r>
    </w:p>
    <w:p w14:paraId="1FA08826" w14:textId="7D1D35FD" w:rsidR="007B344A" w:rsidRPr="00AE78CD" w:rsidRDefault="007B344A" w:rsidP="00AE78CD">
      <w:pPr>
        <w:pStyle w:val="Textonotapie"/>
        <w:jc w:val="both"/>
        <w:rPr>
          <w:rFonts w:ascii="Times New Roman" w:hAnsi="Times New Roman" w:cs="Times New Roman"/>
        </w:rPr>
      </w:pPr>
    </w:p>
  </w:footnote>
  <w:footnote w:id="7">
    <w:p w14:paraId="5EE21E8B" w14:textId="21EF2B10" w:rsidR="007B344A" w:rsidRPr="00AE78CD" w:rsidRDefault="007B344A" w:rsidP="00AE78CD">
      <w:pPr>
        <w:pStyle w:val="Textonotapie"/>
        <w:jc w:val="both"/>
        <w:rPr>
          <w:rFonts w:ascii="Times New Roman" w:hAnsi="Times New Roman" w:cs="Times New Roman"/>
        </w:rPr>
      </w:pPr>
      <w:r w:rsidRPr="00AE78CD">
        <w:rPr>
          <w:rStyle w:val="Refdenotaalpie"/>
          <w:rFonts w:ascii="Times New Roman" w:hAnsi="Times New Roman" w:cs="Times New Roman"/>
        </w:rPr>
        <w:footnoteRef/>
      </w:r>
      <w:r w:rsidRPr="00AE78CD">
        <w:rPr>
          <w:rFonts w:ascii="Times New Roman" w:hAnsi="Times New Roman" w:cs="Times New Roman"/>
        </w:rPr>
        <w:t xml:space="preserve"> Vid. también, S. SANZ-CABALLERO, «El Tribunal Europeo de Derechos Humanos y su respuesta al reto de la transexualidad: historia de un cambio de criterio», </w:t>
      </w:r>
      <w:r w:rsidRPr="00AE78CD">
        <w:rPr>
          <w:rFonts w:ascii="Times New Roman" w:hAnsi="Times New Roman" w:cs="Times New Roman"/>
          <w:i/>
        </w:rPr>
        <w:t xml:space="preserve">American </w:t>
      </w:r>
      <w:proofErr w:type="spellStart"/>
      <w:r w:rsidRPr="00AE78CD">
        <w:rPr>
          <w:rFonts w:ascii="Times New Roman" w:hAnsi="Times New Roman" w:cs="Times New Roman"/>
          <w:i/>
        </w:rPr>
        <w:t>University</w:t>
      </w:r>
      <w:proofErr w:type="spellEnd"/>
      <w:r w:rsidRPr="00AE78CD">
        <w:rPr>
          <w:rFonts w:ascii="Times New Roman" w:hAnsi="Times New Roman" w:cs="Times New Roman"/>
          <w:i/>
        </w:rPr>
        <w:t xml:space="preserve"> International </w:t>
      </w:r>
      <w:proofErr w:type="spellStart"/>
      <w:r w:rsidRPr="00AE78CD">
        <w:rPr>
          <w:rFonts w:ascii="Times New Roman" w:hAnsi="Times New Roman" w:cs="Times New Roman"/>
          <w:i/>
        </w:rPr>
        <w:t>Law</w:t>
      </w:r>
      <w:proofErr w:type="spellEnd"/>
      <w:r w:rsidRPr="00AE78CD">
        <w:rPr>
          <w:rFonts w:ascii="Times New Roman" w:hAnsi="Times New Roman" w:cs="Times New Roman"/>
          <w:i/>
        </w:rPr>
        <w:t xml:space="preserve"> </w:t>
      </w:r>
      <w:proofErr w:type="spellStart"/>
      <w:r w:rsidRPr="00AE78CD">
        <w:rPr>
          <w:rFonts w:ascii="Times New Roman" w:hAnsi="Times New Roman" w:cs="Times New Roman"/>
          <w:i/>
        </w:rPr>
        <w:t>Review</w:t>
      </w:r>
      <w:proofErr w:type="spellEnd"/>
      <w:r w:rsidRPr="00AE78CD">
        <w:rPr>
          <w:rFonts w:ascii="Times New Roman" w:hAnsi="Times New Roman" w:cs="Times New Roman"/>
        </w:rPr>
        <w:t xml:space="preserve">, Vol. 29, n. 4, 2014, </w:t>
      </w:r>
      <w:r w:rsidR="002F103F">
        <w:rPr>
          <w:rFonts w:ascii="Times New Roman" w:hAnsi="Times New Roman" w:cs="Times New Roman"/>
        </w:rPr>
        <w:t xml:space="preserve">(pp. 831-868), </w:t>
      </w:r>
      <w:r w:rsidRPr="00AE78CD">
        <w:rPr>
          <w:rFonts w:ascii="Times New Roman" w:hAnsi="Times New Roman" w:cs="Times New Roman"/>
        </w:rPr>
        <w:t>p. 839.</w:t>
      </w:r>
    </w:p>
  </w:footnote>
  <w:footnote w:id="8">
    <w:p w14:paraId="220E556E" w14:textId="17B06732" w:rsidR="007B344A" w:rsidRPr="00AE78CD" w:rsidRDefault="007B344A" w:rsidP="00AE78CD">
      <w:pPr>
        <w:pStyle w:val="Textonotapie"/>
        <w:jc w:val="both"/>
        <w:rPr>
          <w:rFonts w:ascii="Times New Roman" w:hAnsi="Times New Roman" w:cs="Times New Roman"/>
        </w:rPr>
      </w:pPr>
      <w:r w:rsidRPr="00AE78CD">
        <w:rPr>
          <w:rStyle w:val="Refdenotaalpie"/>
          <w:rFonts w:ascii="Times New Roman" w:hAnsi="Times New Roman" w:cs="Times New Roman"/>
        </w:rPr>
        <w:footnoteRef/>
      </w:r>
      <w:r w:rsidRPr="00AE78CD">
        <w:rPr>
          <w:rFonts w:ascii="Times New Roman" w:hAnsi="Times New Roman" w:cs="Times New Roman"/>
        </w:rPr>
        <w:t xml:space="preserve"> Como es sabido, el TEDH volverá sobre la interpretación del derecho al matrimonio </w:t>
      </w:r>
      <w:r w:rsidRPr="00AE78CD">
        <w:rPr>
          <w:rFonts w:ascii="Times New Roman" w:hAnsi="Times New Roman" w:cs="Times New Roman"/>
          <w:i/>
        </w:rPr>
        <w:t>ex</w:t>
      </w:r>
      <w:r w:rsidRPr="00AE78CD">
        <w:rPr>
          <w:rFonts w:ascii="Times New Roman" w:hAnsi="Times New Roman" w:cs="Times New Roman"/>
        </w:rPr>
        <w:t xml:space="preserve"> art. 12 CEDH en relación con el requisito del sexo de los dos cónyuges en la famosa Sentencia de 24 de junio de 2010, sobre el asunto </w:t>
      </w:r>
      <w:proofErr w:type="spellStart"/>
      <w:r w:rsidRPr="00AE78CD">
        <w:rPr>
          <w:rFonts w:ascii="Times New Roman" w:hAnsi="Times New Roman" w:cs="Times New Roman"/>
          <w:i/>
        </w:rPr>
        <w:t>Schalk</w:t>
      </w:r>
      <w:proofErr w:type="spellEnd"/>
      <w:r w:rsidRPr="00AE78CD">
        <w:rPr>
          <w:rFonts w:ascii="Times New Roman" w:hAnsi="Times New Roman" w:cs="Times New Roman"/>
          <w:i/>
        </w:rPr>
        <w:t xml:space="preserve"> y </w:t>
      </w:r>
      <w:proofErr w:type="spellStart"/>
      <w:r w:rsidRPr="00AE78CD">
        <w:rPr>
          <w:rFonts w:ascii="Times New Roman" w:hAnsi="Times New Roman" w:cs="Times New Roman"/>
          <w:i/>
        </w:rPr>
        <w:t>Kopf</w:t>
      </w:r>
      <w:proofErr w:type="spellEnd"/>
      <w:r w:rsidRPr="00AE78CD">
        <w:rPr>
          <w:rFonts w:ascii="Times New Roman" w:hAnsi="Times New Roman" w:cs="Times New Roman"/>
          <w:i/>
        </w:rPr>
        <w:t xml:space="preserve"> c. Austria</w:t>
      </w:r>
      <w:r w:rsidRPr="00AE78CD">
        <w:rPr>
          <w:rFonts w:ascii="Times New Roman" w:hAnsi="Times New Roman" w:cs="Times New Roman"/>
        </w:rPr>
        <w:t>. En doctrina, sobre el particular, vid.: A. SPERTI, «</w:t>
      </w:r>
      <w:proofErr w:type="spellStart"/>
      <w:r w:rsidRPr="00AE78CD">
        <w:rPr>
          <w:rFonts w:ascii="Times New Roman" w:hAnsi="Times New Roman" w:cs="Times New Roman"/>
        </w:rPr>
        <w:t>Il</w:t>
      </w:r>
      <w:proofErr w:type="spellEnd"/>
      <w:r w:rsidRPr="00AE78CD">
        <w:rPr>
          <w:rFonts w:ascii="Times New Roman" w:hAnsi="Times New Roman" w:cs="Times New Roman"/>
        </w:rPr>
        <w:t xml:space="preserve"> </w:t>
      </w:r>
      <w:proofErr w:type="spellStart"/>
      <w:r w:rsidRPr="00AE78CD">
        <w:rPr>
          <w:rFonts w:ascii="Times New Roman" w:hAnsi="Times New Roman" w:cs="Times New Roman"/>
        </w:rPr>
        <w:t>riconoscimento</w:t>
      </w:r>
      <w:proofErr w:type="spellEnd"/>
      <w:r w:rsidRPr="00AE78CD">
        <w:rPr>
          <w:rFonts w:ascii="Times New Roman" w:hAnsi="Times New Roman" w:cs="Times New Roman"/>
        </w:rPr>
        <w:t xml:space="preserve"> </w:t>
      </w:r>
      <w:proofErr w:type="spellStart"/>
      <w:r w:rsidRPr="00AE78CD">
        <w:rPr>
          <w:rFonts w:ascii="Times New Roman" w:hAnsi="Times New Roman" w:cs="Times New Roman"/>
        </w:rPr>
        <w:t>giuridico</w:t>
      </w:r>
      <w:proofErr w:type="spellEnd"/>
      <w:r w:rsidRPr="00AE78CD">
        <w:rPr>
          <w:rFonts w:ascii="Times New Roman" w:hAnsi="Times New Roman" w:cs="Times New Roman"/>
        </w:rPr>
        <w:t xml:space="preserve"> </w:t>
      </w:r>
      <w:proofErr w:type="spellStart"/>
      <w:r w:rsidRPr="00AE78CD">
        <w:rPr>
          <w:rFonts w:ascii="Times New Roman" w:hAnsi="Times New Roman" w:cs="Times New Roman"/>
        </w:rPr>
        <w:t>delle</w:t>
      </w:r>
      <w:proofErr w:type="spellEnd"/>
      <w:r w:rsidRPr="00AE78CD">
        <w:rPr>
          <w:rFonts w:ascii="Times New Roman" w:hAnsi="Times New Roman" w:cs="Times New Roman"/>
        </w:rPr>
        <w:t xml:space="preserve"> </w:t>
      </w:r>
      <w:proofErr w:type="spellStart"/>
      <w:r w:rsidRPr="00AE78CD">
        <w:rPr>
          <w:rFonts w:ascii="Times New Roman" w:hAnsi="Times New Roman" w:cs="Times New Roman"/>
        </w:rPr>
        <w:t>coppie</w:t>
      </w:r>
      <w:proofErr w:type="spellEnd"/>
      <w:r w:rsidRPr="00AE78CD">
        <w:rPr>
          <w:rFonts w:ascii="Times New Roman" w:hAnsi="Times New Roman" w:cs="Times New Roman"/>
        </w:rPr>
        <w:t xml:space="preserve"> </w:t>
      </w:r>
      <w:proofErr w:type="spellStart"/>
      <w:r w:rsidRPr="00AE78CD">
        <w:rPr>
          <w:rFonts w:ascii="Times New Roman" w:hAnsi="Times New Roman" w:cs="Times New Roman"/>
        </w:rPr>
        <w:t>same</w:t>
      </w:r>
      <w:proofErr w:type="spellEnd"/>
      <w:r w:rsidRPr="00AE78CD">
        <w:rPr>
          <w:rFonts w:ascii="Times New Roman" w:hAnsi="Times New Roman" w:cs="Times New Roman"/>
        </w:rPr>
        <w:t xml:space="preserve">-sex a </w:t>
      </w:r>
      <w:proofErr w:type="spellStart"/>
      <w:r w:rsidRPr="00AE78CD">
        <w:rPr>
          <w:rFonts w:ascii="Times New Roman" w:hAnsi="Times New Roman" w:cs="Times New Roman"/>
        </w:rPr>
        <w:t>Strasburgo</w:t>
      </w:r>
      <w:proofErr w:type="spellEnd"/>
      <w:r w:rsidRPr="00AE78CD">
        <w:rPr>
          <w:rFonts w:ascii="Times New Roman" w:hAnsi="Times New Roman" w:cs="Times New Roman"/>
        </w:rPr>
        <w:t xml:space="preserve">, in </w:t>
      </w:r>
      <w:proofErr w:type="spellStart"/>
      <w:r w:rsidRPr="00AE78CD">
        <w:rPr>
          <w:rFonts w:ascii="Times New Roman" w:hAnsi="Times New Roman" w:cs="Times New Roman"/>
        </w:rPr>
        <w:t>attesa</w:t>
      </w:r>
      <w:proofErr w:type="spellEnd"/>
      <w:r w:rsidRPr="00AE78CD">
        <w:rPr>
          <w:rFonts w:ascii="Times New Roman" w:hAnsi="Times New Roman" w:cs="Times New Roman"/>
        </w:rPr>
        <w:t xml:space="preserve"> di una </w:t>
      </w:r>
      <w:proofErr w:type="spellStart"/>
      <w:r w:rsidRPr="00AE78CD">
        <w:rPr>
          <w:rFonts w:ascii="Times New Roman" w:hAnsi="Times New Roman" w:cs="Times New Roman"/>
        </w:rPr>
        <w:t>piena</w:t>
      </w:r>
      <w:proofErr w:type="spellEnd"/>
      <w:r w:rsidRPr="00AE78CD">
        <w:rPr>
          <w:rFonts w:ascii="Times New Roman" w:hAnsi="Times New Roman" w:cs="Times New Roman"/>
        </w:rPr>
        <w:t xml:space="preserve"> </w:t>
      </w:r>
      <w:proofErr w:type="spellStart"/>
      <w:r w:rsidRPr="00AE78CD">
        <w:rPr>
          <w:rFonts w:ascii="Times New Roman" w:hAnsi="Times New Roman" w:cs="Times New Roman"/>
        </w:rPr>
        <w:t>eguaglianza</w:t>
      </w:r>
      <w:proofErr w:type="spellEnd"/>
      <w:r w:rsidRPr="00AE78CD">
        <w:rPr>
          <w:rFonts w:ascii="Times New Roman" w:hAnsi="Times New Roman" w:cs="Times New Roman"/>
        </w:rPr>
        <w:t xml:space="preserve">», </w:t>
      </w:r>
      <w:proofErr w:type="spellStart"/>
      <w:r w:rsidRPr="00AE78CD">
        <w:rPr>
          <w:rFonts w:ascii="Times New Roman" w:hAnsi="Times New Roman" w:cs="Times New Roman"/>
          <w:i/>
        </w:rPr>
        <w:t>Studium</w:t>
      </w:r>
      <w:proofErr w:type="spellEnd"/>
      <w:r w:rsidRPr="00AE78CD">
        <w:rPr>
          <w:rFonts w:ascii="Times New Roman" w:hAnsi="Times New Roman" w:cs="Times New Roman"/>
          <w:i/>
        </w:rPr>
        <w:t xml:space="preserve"> Iuris</w:t>
      </w:r>
      <w:r w:rsidRPr="00AE78CD">
        <w:rPr>
          <w:rFonts w:ascii="Times New Roman" w:hAnsi="Times New Roman" w:cs="Times New Roman"/>
        </w:rPr>
        <w:t xml:space="preserve">, </w:t>
      </w:r>
      <w:proofErr w:type="spellStart"/>
      <w:r w:rsidRPr="00AE78CD">
        <w:rPr>
          <w:rFonts w:ascii="Times New Roman" w:hAnsi="Times New Roman" w:cs="Times New Roman"/>
        </w:rPr>
        <w:t>núm</w:t>
      </w:r>
      <w:proofErr w:type="spellEnd"/>
      <w:r w:rsidRPr="00AE78CD">
        <w:rPr>
          <w:rFonts w:ascii="Times New Roman" w:hAnsi="Times New Roman" w:cs="Times New Roman"/>
        </w:rPr>
        <w:t xml:space="preserve"> 10, 2018, 1155-1164, pp. 1161 y ss.; A. TORRES PÉREZ, «El matrimonio entre personas del mismo sexo a la luz del Convenio Europeo de derechos Humanos y la Unión Europea», disponible en </w:t>
      </w:r>
      <w:hyperlink r:id="rId3" w:history="1">
        <w:r w:rsidRPr="00AE78CD">
          <w:rPr>
            <w:rStyle w:val="Hipervnculo"/>
            <w:rFonts w:ascii="Times New Roman" w:hAnsi="Times New Roman" w:cs="Times New Roman"/>
          </w:rPr>
          <w:t>https://www.academia.edu/8975101/El_matrimonio_entre_personas_del_mismo_sexo_a_la_luz_del_Convenio_Europeo_de_derechos_Humanos_y_la_Uni%C3%B3n_Europea</w:t>
        </w:r>
      </w:hyperlink>
      <w:r w:rsidRPr="00AE78CD">
        <w:rPr>
          <w:rFonts w:ascii="Times New Roman" w:hAnsi="Times New Roman" w:cs="Times New Roman"/>
        </w:rPr>
        <w:t xml:space="preserve">, 2012, pp. 1-18; S. ROMBOLI, «La protección de las parejas homosexuales frente a la discriminación en la evolución de la jurisprudencia del Tribunal Europeo: pasado, presente y unas previsiones para el futuro», </w:t>
      </w:r>
      <w:r w:rsidRPr="00AE78CD">
        <w:rPr>
          <w:rFonts w:ascii="Times New Roman" w:hAnsi="Times New Roman" w:cs="Times New Roman"/>
          <w:i/>
        </w:rPr>
        <w:t>Anales de Derecho</w:t>
      </w:r>
      <w:r w:rsidRPr="00AE78CD">
        <w:rPr>
          <w:rFonts w:ascii="Times New Roman" w:hAnsi="Times New Roman" w:cs="Times New Roman"/>
        </w:rPr>
        <w:t xml:space="preserve">, 38 (1), 2020, pp. 1-39. </w:t>
      </w:r>
    </w:p>
  </w:footnote>
  <w:footnote w:id="9">
    <w:p w14:paraId="3DFF5AE7" w14:textId="1D52F5FF" w:rsidR="007B344A" w:rsidRPr="00AE78CD" w:rsidRDefault="007B344A" w:rsidP="00AE78CD">
      <w:pPr>
        <w:pStyle w:val="Textonotapie"/>
        <w:jc w:val="both"/>
        <w:rPr>
          <w:rStyle w:val="Hipervnculo"/>
          <w:rFonts w:ascii="Times New Roman" w:hAnsi="Times New Roman" w:cs="Times New Roman"/>
        </w:rPr>
      </w:pPr>
      <w:r w:rsidRPr="00AE78CD">
        <w:rPr>
          <w:rStyle w:val="Refdenotaalpie"/>
          <w:rFonts w:ascii="Times New Roman" w:hAnsi="Times New Roman" w:cs="Times New Roman"/>
        </w:rPr>
        <w:footnoteRef/>
      </w:r>
      <w:r w:rsidRPr="00AE78CD">
        <w:rPr>
          <w:rFonts w:ascii="Times New Roman" w:hAnsi="Times New Roman" w:cs="Times New Roman"/>
        </w:rPr>
        <w:t xml:space="preserve"> </w:t>
      </w:r>
      <w:hyperlink r:id="rId4" w:anchor="{%22itemid%22:[%22001-1138%22]}" w:history="1">
        <w:r w:rsidRPr="00AE78CD">
          <w:rPr>
            <w:rStyle w:val="Hipervnculo"/>
            <w:rFonts w:ascii="Times New Roman" w:hAnsi="Times New Roman" w:cs="Times New Roman"/>
          </w:rPr>
          <w:t>https://hudoc.echr.coe.int/eng#{%22itemid%22:[%22001-1138%22]}</w:t>
        </w:r>
      </w:hyperlink>
      <w:r w:rsidRPr="00AE78CD">
        <w:rPr>
          <w:rStyle w:val="Hipervnculo"/>
          <w:rFonts w:ascii="Times New Roman" w:hAnsi="Times New Roman" w:cs="Times New Roman"/>
        </w:rPr>
        <w:t xml:space="preserve">. </w:t>
      </w:r>
    </w:p>
    <w:p w14:paraId="12B40737" w14:textId="282AB097" w:rsidR="007B344A" w:rsidRPr="00AE78CD" w:rsidRDefault="007B344A" w:rsidP="00AE78CD">
      <w:pPr>
        <w:pStyle w:val="Textonotapie"/>
        <w:jc w:val="both"/>
        <w:rPr>
          <w:rFonts w:ascii="Times New Roman" w:hAnsi="Times New Roman" w:cs="Times New Roman"/>
        </w:rPr>
      </w:pPr>
      <w:r w:rsidRPr="00AE78CD">
        <w:rPr>
          <w:rFonts w:ascii="Times New Roman" w:hAnsi="Times New Roman" w:cs="Times New Roman"/>
        </w:rPr>
        <w:t xml:space="preserve">Vid. A. LORENZETTI, </w:t>
      </w:r>
      <w:bookmarkStart w:id="6" w:name="_Hlk100945574"/>
      <w:r w:rsidRPr="00AE78CD">
        <w:rPr>
          <w:rFonts w:ascii="Times New Roman" w:hAnsi="Times New Roman" w:cs="Times New Roman"/>
        </w:rPr>
        <w:t>«</w:t>
      </w:r>
      <w:bookmarkEnd w:id="6"/>
      <w:r w:rsidRPr="00AE78CD">
        <w:rPr>
          <w:rFonts w:ascii="Times New Roman" w:hAnsi="Times New Roman" w:cs="Times New Roman"/>
        </w:rPr>
        <w:t xml:space="preserve">Los derechos fundamentales de las personas LGBTI desde la perspectiva comparada: Italia, Francia, Alemania», en F. Javier </w:t>
      </w:r>
      <w:proofErr w:type="spellStart"/>
      <w:r w:rsidRPr="00AE78CD">
        <w:rPr>
          <w:rFonts w:ascii="Times New Roman" w:hAnsi="Times New Roman" w:cs="Times New Roman"/>
        </w:rPr>
        <w:t>Matia</w:t>
      </w:r>
      <w:proofErr w:type="spellEnd"/>
      <w:r w:rsidRPr="00AE78CD">
        <w:rPr>
          <w:rFonts w:ascii="Times New Roman" w:hAnsi="Times New Roman" w:cs="Times New Roman"/>
        </w:rPr>
        <w:t xml:space="preserve"> Portilla, A. Elvira Perales, y A. Arroyo Gil (</w:t>
      </w:r>
      <w:proofErr w:type="spellStart"/>
      <w:r w:rsidRPr="00AE78CD">
        <w:rPr>
          <w:rFonts w:ascii="Times New Roman" w:hAnsi="Times New Roman" w:cs="Times New Roman"/>
        </w:rPr>
        <w:t>dirs</w:t>
      </w:r>
      <w:proofErr w:type="spellEnd"/>
      <w:r w:rsidRPr="00AE78CD">
        <w:rPr>
          <w:rFonts w:ascii="Times New Roman" w:hAnsi="Times New Roman" w:cs="Times New Roman"/>
        </w:rPr>
        <w:t xml:space="preserve">.), </w:t>
      </w:r>
      <w:r w:rsidRPr="00AE78CD">
        <w:rPr>
          <w:rFonts w:ascii="Times New Roman" w:hAnsi="Times New Roman" w:cs="Times New Roman"/>
          <w:i/>
        </w:rPr>
        <w:t>La protección de los derechos fundamentales de las personas LGTBI</w:t>
      </w:r>
      <w:r w:rsidRPr="00AE78CD">
        <w:rPr>
          <w:rFonts w:ascii="Times New Roman" w:hAnsi="Times New Roman" w:cs="Times New Roman"/>
        </w:rPr>
        <w:t>, Tirant Lo Blanch, Valencia, 2019, pp. 195-234.</w:t>
      </w:r>
    </w:p>
  </w:footnote>
  <w:footnote w:id="10">
    <w:p w14:paraId="6591E661" w14:textId="0C8CEBF1" w:rsidR="007B344A" w:rsidRPr="00AE78CD" w:rsidRDefault="007B344A" w:rsidP="00AE78CD">
      <w:pPr>
        <w:pStyle w:val="Textonotapie"/>
        <w:jc w:val="both"/>
        <w:rPr>
          <w:rFonts w:ascii="Times New Roman" w:hAnsi="Times New Roman" w:cs="Times New Roman"/>
        </w:rPr>
      </w:pPr>
      <w:r w:rsidRPr="00AE78CD">
        <w:rPr>
          <w:rStyle w:val="Refdenotaalpie"/>
          <w:rFonts w:ascii="Times New Roman" w:hAnsi="Times New Roman" w:cs="Times New Roman"/>
        </w:rPr>
        <w:footnoteRef/>
      </w:r>
      <w:r w:rsidRPr="00AE78CD">
        <w:rPr>
          <w:rFonts w:ascii="Times New Roman" w:hAnsi="Times New Roman" w:cs="Times New Roman"/>
        </w:rPr>
        <w:t xml:space="preserve"> Esto cambiará con la Sentencia </w:t>
      </w:r>
      <w:proofErr w:type="spellStart"/>
      <w:r w:rsidRPr="00AE78CD">
        <w:rPr>
          <w:rFonts w:ascii="Times New Roman" w:hAnsi="Times New Roman" w:cs="Times New Roman"/>
          <w:i/>
        </w:rPr>
        <w:t>Schalk</w:t>
      </w:r>
      <w:proofErr w:type="spellEnd"/>
      <w:r w:rsidRPr="00AE78CD">
        <w:rPr>
          <w:rFonts w:ascii="Times New Roman" w:hAnsi="Times New Roman" w:cs="Times New Roman"/>
          <w:i/>
        </w:rPr>
        <w:t xml:space="preserve"> y </w:t>
      </w:r>
      <w:proofErr w:type="spellStart"/>
      <w:r w:rsidRPr="00AE78CD">
        <w:rPr>
          <w:rFonts w:ascii="Times New Roman" w:hAnsi="Times New Roman" w:cs="Times New Roman"/>
          <w:i/>
        </w:rPr>
        <w:t>Kopf</w:t>
      </w:r>
      <w:proofErr w:type="spellEnd"/>
      <w:r w:rsidRPr="00AE78CD">
        <w:rPr>
          <w:rFonts w:ascii="Times New Roman" w:hAnsi="Times New Roman" w:cs="Times New Roman"/>
        </w:rPr>
        <w:t xml:space="preserve"> de 2010, citada antes, en la que el TEDH afirmará que, si bien el Convenio no obliga a los Estados a reconocer el derecho al matrimonio entre personas del mismo sexo, tampoco lo prohíbe. Vid. A. SPERTI, «</w:t>
      </w:r>
      <w:proofErr w:type="spellStart"/>
      <w:r w:rsidRPr="00AE78CD">
        <w:rPr>
          <w:rFonts w:ascii="Times New Roman" w:hAnsi="Times New Roman" w:cs="Times New Roman"/>
        </w:rPr>
        <w:t>Il</w:t>
      </w:r>
      <w:proofErr w:type="spellEnd"/>
      <w:r w:rsidRPr="00AE78CD">
        <w:rPr>
          <w:rFonts w:ascii="Times New Roman" w:hAnsi="Times New Roman" w:cs="Times New Roman"/>
        </w:rPr>
        <w:t xml:space="preserve"> </w:t>
      </w:r>
      <w:proofErr w:type="spellStart"/>
      <w:r w:rsidRPr="00AE78CD">
        <w:rPr>
          <w:rFonts w:ascii="Times New Roman" w:hAnsi="Times New Roman" w:cs="Times New Roman"/>
        </w:rPr>
        <w:t>riconoscimento</w:t>
      </w:r>
      <w:proofErr w:type="spellEnd"/>
      <w:r w:rsidRPr="00AE78CD">
        <w:rPr>
          <w:rFonts w:ascii="Times New Roman" w:hAnsi="Times New Roman" w:cs="Times New Roman"/>
        </w:rPr>
        <w:t xml:space="preserve"> </w:t>
      </w:r>
      <w:proofErr w:type="spellStart"/>
      <w:r w:rsidRPr="00AE78CD">
        <w:rPr>
          <w:rFonts w:ascii="Times New Roman" w:hAnsi="Times New Roman" w:cs="Times New Roman"/>
        </w:rPr>
        <w:t>giuridico</w:t>
      </w:r>
      <w:proofErr w:type="spellEnd"/>
      <w:r w:rsidRPr="00AE78CD">
        <w:rPr>
          <w:rFonts w:ascii="Times New Roman" w:hAnsi="Times New Roman" w:cs="Times New Roman"/>
        </w:rPr>
        <w:t xml:space="preserve"> </w:t>
      </w:r>
      <w:proofErr w:type="spellStart"/>
      <w:r w:rsidRPr="00AE78CD">
        <w:rPr>
          <w:rFonts w:ascii="Times New Roman" w:hAnsi="Times New Roman" w:cs="Times New Roman"/>
        </w:rPr>
        <w:t>delle</w:t>
      </w:r>
      <w:proofErr w:type="spellEnd"/>
      <w:r w:rsidRPr="00AE78CD">
        <w:rPr>
          <w:rFonts w:ascii="Times New Roman" w:hAnsi="Times New Roman" w:cs="Times New Roman"/>
        </w:rPr>
        <w:t xml:space="preserve"> </w:t>
      </w:r>
      <w:proofErr w:type="spellStart"/>
      <w:r w:rsidRPr="00AE78CD">
        <w:rPr>
          <w:rFonts w:ascii="Times New Roman" w:hAnsi="Times New Roman" w:cs="Times New Roman"/>
        </w:rPr>
        <w:t>coppie</w:t>
      </w:r>
      <w:proofErr w:type="spellEnd"/>
      <w:r w:rsidRPr="00AE78CD">
        <w:rPr>
          <w:rFonts w:ascii="Times New Roman" w:hAnsi="Times New Roman" w:cs="Times New Roman"/>
        </w:rPr>
        <w:t xml:space="preserve"> </w:t>
      </w:r>
      <w:proofErr w:type="spellStart"/>
      <w:r w:rsidRPr="00AE78CD">
        <w:rPr>
          <w:rFonts w:ascii="Times New Roman" w:hAnsi="Times New Roman" w:cs="Times New Roman"/>
        </w:rPr>
        <w:t>same</w:t>
      </w:r>
      <w:proofErr w:type="spellEnd"/>
      <w:r w:rsidRPr="00AE78CD">
        <w:rPr>
          <w:rFonts w:ascii="Times New Roman" w:hAnsi="Times New Roman" w:cs="Times New Roman"/>
        </w:rPr>
        <w:t xml:space="preserve">-sex a </w:t>
      </w:r>
      <w:proofErr w:type="spellStart"/>
      <w:r w:rsidRPr="00AE78CD">
        <w:rPr>
          <w:rFonts w:ascii="Times New Roman" w:hAnsi="Times New Roman" w:cs="Times New Roman"/>
        </w:rPr>
        <w:t>Strasburgo</w:t>
      </w:r>
      <w:proofErr w:type="spellEnd"/>
      <w:r w:rsidRPr="00AE78CD">
        <w:rPr>
          <w:rFonts w:ascii="Times New Roman" w:hAnsi="Times New Roman" w:cs="Times New Roman"/>
        </w:rPr>
        <w:t xml:space="preserve">, in </w:t>
      </w:r>
      <w:proofErr w:type="spellStart"/>
      <w:r w:rsidRPr="00AE78CD">
        <w:rPr>
          <w:rFonts w:ascii="Times New Roman" w:hAnsi="Times New Roman" w:cs="Times New Roman"/>
        </w:rPr>
        <w:t>attesa</w:t>
      </w:r>
      <w:proofErr w:type="spellEnd"/>
      <w:r w:rsidRPr="00AE78CD">
        <w:rPr>
          <w:rFonts w:ascii="Times New Roman" w:hAnsi="Times New Roman" w:cs="Times New Roman"/>
        </w:rPr>
        <w:t xml:space="preserve"> di una </w:t>
      </w:r>
      <w:proofErr w:type="spellStart"/>
      <w:r w:rsidRPr="00AE78CD">
        <w:rPr>
          <w:rFonts w:ascii="Times New Roman" w:hAnsi="Times New Roman" w:cs="Times New Roman"/>
        </w:rPr>
        <w:t>piena</w:t>
      </w:r>
      <w:proofErr w:type="spellEnd"/>
      <w:r w:rsidRPr="00AE78CD">
        <w:rPr>
          <w:rFonts w:ascii="Times New Roman" w:hAnsi="Times New Roman" w:cs="Times New Roman"/>
        </w:rPr>
        <w:t xml:space="preserve"> </w:t>
      </w:r>
      <w:proofErr w:type="spellStart"/>
      <w:r w:rsidRPr="00AE78CD">
        <w:rPr>
          <w:rFonts w:ascii="Times New Roman" w:hAnsi="Times New Roman" w:cs="Times New Roman"/>
        </w:rPr>
        <w:t>eguaglianza</w:t>
      </w:r>
      <w:proofErr w:type="spellEnd"/>
      <w:r w:rsidRPr="00AE78CD">
        <w:rPr>
          <w:rFonts w:ascii="Times New Roman" w:hAnsi="Times New Roman" w:cs="Times New Roman"/>
        </w:rPr>
        <w:t xml:space="preserve">», </w:t>
      </w:r>
      <w:proofErr w:type="spellStart"/>
      <w:r w:rsidRPr="00AE78CD">
        <w:rPr>
          <w:rFonts w:ascii="Times New Roman" w:hAnsi="Times New Roman" w:cs="Times New Roman"/>
        </w:rPr>
        <w:t>op</w:t>
      </w:r>
      <w:proofErr w:type="spellEnd"/>
      <w:r w:rsidRPr="00AE78CD">
        <w:rPr>
          <w:rFonts w:ascii="Times New Roman" w:hAnsi="Times New Roman" w:cs="Times New Roman"/>
        </w:rPr>
        <w:t xml:space="preserve">. cit.; A. TORRES PÉREZ, «El matrimonio entre personas del mismo sexo a la luz del Convenio Europeo de derechos Humanos y la Unión Europea», </w:t>
      </w:r>
      <w:proofErr w:type="spellStart"/>
      <w:r w:rsidRPr="00AE78CD">
        <w:rPr>
          <w:rFonts w:ascii="Times New Roman" w:hAnsi="Times New Roman" w:cs="Times New Roman"/>
        </w:rPr>
        <w:t>op</w:t>
      </w:r>
      <w:proofErr w:type="spellEnd"/>
      <w:r w:rsidRPr="00AE78CD">
        <w:rPr>
          <w:rFonts w:ascii="Times New Roman" w:hAnsi="Times New Roman" w:cs="Times New Roman"/>
        </w:rPr>
        <w:t xml:space="preserve">. cit.; S. ROMBOLI, «La protección de las parejas homosexuales frente a la discriminación en la evolución de la jurisprudencia del Tribunal Europeo: pasado, presente y unas previsiones para el futuro», </w:t>
      </w:r>
      <w:proofErr w:type="spellStart"/>
      <w:r w:rsidRPr="00AE78CD">
        <w:rPr>
          <w:rFonts w:ascii="Times New Roman" w:hAnsi="Times New Roman" w:cs="Times New Roman"/>
        </w:rPr>
        <w:t>op</w:t>
      </w:r>
      <w:proofErr w:type="spellEnd"/>
      <w:r w:rsidRPr="00AE78CD">
        <w:rPr>
          <w:rFonts w:ascii="Times New Roman" w:hAnsi="Times New Roman" w:cs="Times New Roman"/>
        </w:rPr>
        <w:t>. cit.</w:t>
      </w:r>
    </w:p>
  </w:footnote>
  <w:footnote w:id="11">
    <w:p w14:paraId="212178D2" w14:textId="10AEB0BE" w:rsidR="007B344A" w:rsidRPr="00AE78CD" w:rsidRDefault="007B344A" w:rsidP="00AE78CD">
      <w:pPr>
        <w:pStyle w:val="Textonotapie"/>
        <w:jc w:val="both"/>
        <w:rPr>
          <w:rFonts w:ascii="Times New Roman" w:hAnsi="Times New Roman" w:cs="Times New Roman"/>
        </w:rPr>
      </w:pPr>
      <w:r w:rsidRPr="00AE78CD">
        <w:rPr>
          <w:rStyle w:val="Refdenotaalpie"/>
          <w:rFonts w:ascii="Times New Roman" w:hAnsi="Times New Roman" w:cs="Times New Roman"/>
        </w:rPr>
        <w:footnoteRef/>
      </w:r>
      <w:r w:rsidRPr="00AE78CD">
        <w:rPr>
          <w:rFonts w:ascii="Times New Roman" w:hAnsi="Times New Roman" w:cs="Times New Roman"/>
        </w:rPr>
        <w:t xml:space="preserve"> Esta decisión demuestra que los sistemas jurídicos pueden encontrar los remedios necesarios para evitar los eventuales abusos en los procedimientos de cambios registrales del sexo, en respuesta a muchas de las críticas que determinados sectores han dirigido a los contenidos de la denominada “Ley trans” española; entre otros, vid. S. LÉON, «Las 7 razones por las que las feministas consideran que la ley Trans es una “aberración”», Libertad Digital, 29 de junio de 2021, disponible en </w:t>
      </w:r>
      <w:hyperlink r:id="rId5" w:history="1">
        <w:r w:rsidRPr="00AE78CD">
          <w:rPr>
            <w:rStyle w:val="Hipervnculo"/>
            <w:rFonts w:ascii="Times New Roman" w:hAnsi="Times New Roman" w:cs="Times New Roman"/>
          </w:rPr>
          <w:t>https://www.libertaddigital.com/espana/2021-06-29/las-7-razones-por-las-que-las-feministas-consideran-que-la-ley-trans-es-una-aberracion-6795534/</w:t>
        </w:r>
      </w:hyperlink>
      <w:r w:rsidRPr="00AE78CD">
        <w:rPr>
          <w:rFonts w:ascii="Times New Roman" w:hAnsi="Times New Roman" w:cs="Times New Roman"/>
        </w:rPr>
        <w:t xml:space="preserve">; L. MEYER, «Cinco claves para entender la polémica de la ley trans», </w:t>
      </w:r>
      <w:proofErr w:type="spellStart"/>
      <w:r w:rsidRPr="00AE78CD">
        <w:rPr>
          <w:rFonts w:ascii="Times New Roman" w:hAnsi="Times New Roman" w:cs="Times New Roman"/>
          <w:i/>
        </w:rPr>
        <w:t>Ethic</w:t>
      </w:r>
      <w:proofErr w:type="spellEnd"/>
      <w:r w:rsidRPr="00AE78CD">
        <w:rPr>
          <w:rFonts w:ascii="Times New Roman" w:hAnsi="Times New Roman" w:cs="Times New Roman"/>
        </w:rPr>
        <w:t xml:space="preserve">, 10 de febrero de 2021, disponible en </w:t>
      </w:r>
      <w:hyperlink r:id="rId6" w:history="1">
        <w:r w:rsidRPr="00AE78CD">
          <w:rPr>
            <w:rStyle w:val="Hipervnculo"/>
            <w:rFonts w:ascii="Times New Roman" w:hAnsi="Times New Roman" w:cs="Times New Roman"/>
          </w:rPr>
          <w:t>https://ethic.es/2021/02/cinco-claves-para-entender-la-polemica-de-la-ley-trans/</w:t>
        </w:r>
      </w:hyperlink>
      <w:r w:rsidRPr="00AE78CD">
        <w:rPr>
          <w:rFonts w:ascii="Times New Roman" w:hAnsi="Times New Roman" w:cs="Times New Roman"/>
        </w:rPr>
        <w:t xml:space="preserve">; S. HEREDIA, «Y el deporte, ¿cómo metabolizaría la ‘ley trans’?», La Vanguardia, 14 de febrero de 2021, disponible en </w:t>
      </w:r>
      <w:hyperlink r:id="rId7" w:history="1">
        <w:r w:rsidRPr="00AE78CD">
          <w:rPr>
            <w:rStyle w:val="Hipervnculo"/>
            <w:rFonts w:ascii="Times New Roman" w:hAnsi="Times New Roman" w:cs="Times New Roman"/>
          </w:rPr>
          <w:t>https://www.lavanguardia.com/deportes/otros-deportes/20210214/6240352/ley-trans-coe-alejandro-blanco-testosterona-alba-palacios.html</w:t>
        </w:r>
      </w:hyperlink>
      <w:r w:rsidRPr="00AE78CD">
        <w:rPr>
          <w:rFonts w:ascii="Times New Roman" w:hAnsi="Times New Roman" w:cs="Times New Roman"/>
        </w:rPr>
        <w:t xml:space="preserve">; I. TRUJILLO, «¿El fin del juego limpio?: Estas son las consecuencias de la “ley trans” para el deporte femenino», La Razón, 30 de junio de 2021, disponible en </w:t>
      </w:r>
      <w:hyperlink r:id="rId8" w:history="1">
        <w:r w:rsidRPr="00AE78CD">
          <w:rPr>
            <w:rStyle w:val="Hipervnculo"/>
            <w:rFonts w:ascii="Times New Roman" w:hAnsi="Times New Roman" w:cs="Times New Roman"/>
          </w:rPr>
          <w:t>https://www.larazon.es/deportes/20210630/6fumw6bb3rccjbe7ozy4waktie.html</w:t>
        </w:r>
      </w:hyperlink>
      <w:r w:rsidRPr="00AE78CD">
        <w:rPr>
          <w:rFonts w:ascii="Times New Roman" w:hAnsi="Times New Roman" w:cs="Times New Roman"/>
        </w:rPr>
        <w:t xml:space="preserve">. </w:t>
      </w:r>
    </w:p>
  </w:footnote>
  <w:footnote w:id="12">
    <w:p w14:paraId="0EEA1887" w14:textId="3ABCC991" w:rsidR="007B344A" w:rsidRPr="00AE78CD" w:rsidRDefault="007B344A" w:rsidP="00AE78CD">
      <w:pPr>
        <w:spacing w:after="0"/>
        <w:jc w:val="both"/>
        <w:rPr>
          <w:rFonts w:ascii="Times New Roman" w:hAnsi="Times New Roman" w:cs="Times New Roman"/>
          <w:color w:val="0563C1" w:themeColor="hyperlink"/>
          <w:sz w:val="20"/>
          <w:szCs w:val="20"/>
          <w:u w:val="single"/>
        </w:rPr>
      </w:pPr>
      <w:r w:rsidRPr="00AE78CD">
        <w:rPr>
          <w:rStyle w:val="Refdenotaalpie"/>
          <w:rFonts w:ascii="Times New Roman" w:hAnsi="Times New Roman" w:cs="Times New Roman"/>
          <w:sz w:val="20"/>
          <w:szCs w:val="20"/>
        </w:rPr>
        <w:footnoteRef/>
      </w:r>
      <w:r w:rsidRPr="00AE78CD">
        <w:rPr>
          <w:rFonts w:ascii="Times New Roman" w:hAnsi="Times New Roman" w:cs="Times New Roman"/>
          <w:sz w:val="20"/>
          <w:szCs w:val="20"/>
        </w:rPr>
        <w:t xml:space="preserve"> </w:t>
      </w:r>
      <w:hyperlink r:id="rId9" w:anchor="{%22itemid%22:[%22001-57641%22]}" w:history="1">
        <w:r w:rsidRPr="00AE78CD">
          <w:rPr>
            <w:rStyle w:val="Hipervnculo"/>
            <w:rFonts w:ascii="Times New Roman" w:hAnsi="Times New Roman" w:cs="Times New Roman"/>
            <w:sz w:val="20"/>
            <w:szCs w:val="20"/>
          </w:rPr>
          <w:t>https://hudoc.echr.coe.int/eng#{%22itemid%22:[%22001-57641%22]}</w:t>
        </w:r>
      </w:hyperlink>
      <w:r w:rsidRPr="00AE78CD">
        <w:rPr>
          <w:rStyle w:val="Hipervnculo"/>
          <w:rFonts w:ascii="Times New Roman" w:hAnsi="Times New Roman" w:cs="Times New Roman"/>
          <w:sz w:val="20"/>
          <w:szCs w:val="20"/>
        </w:rPr>
        <w:t xml:space="preserve">. </w:t>
      </w:r>
    </w:p>
  </w:footnote>
  <w:footnote w:id="13">
    <w:p w14:paraId="7B945944" w14:textId="13207139" w:rsidR="007B344A" w:rsidRPr="00AE78CD" w:rsidRDefault="007B344A" w:rsidP="00AE78CD">
      <w:pPr>
        <w:pStyle w:val="Textonotapie"/>
        <w:jc w:val="both"/>
        <w:rPr>
          <w:rFonts w:ascii="Times New Roman" w:hAnsi="Times New Roman" w:cs="Times New Roman"/>
        </w:rPr>
      </w:pPr>
      <w:r w:rsidRPr="00AE78CD">
        <w:rPr>
          <w:rStyle w:val="Refdenotaalpie"/>
          <w:rFonts w:ascii="Times New Roman" w:hAnsi="Times New Roman" w:cs="Times New Roman"/>
        </w:rPr>
        <w:footnoteRef/>
      </w:r>
      <w:r w:rsidRPr="00AE78CD">
        <w:rPr>
          <w:rFonts w:ascii="Times New Roman" w:hAnsi="Times New Roman" w:cs="Times New Roman"/>
        </w:rPr>
        <w:t xml:space="preserve"> Llega a estas mismas conclusiones, aunque con explicaciones parcialmente distintas, el </w:t>
      </w:r>
      <w:r w:rsidRPr="00AE78CD">
        <w:rPr>
          <w:rFonts w:ascii="Times New Roman" w:hAnsi="Times New Roman" w:cs="Times New Roman"/>
          <w:bCs/>
        </w:rPr>
        <w:t>voto particular disidente y conjunto</w:t>
      </w:r>
      <w:r w:rsidRPr="00AE78CD">
        <w:rPr>
          <w:rFonts w:ascii="Times New Roman" w:hAnsi="Times New Roman" w:cs="Times New Roman"/>
        </w:rPr>
        <w:t xml:space="preserve"> de los </w:t>
      </w:r>
      <w:r w:rsidR="00CF365C">
        <w:rPr>
          <w:rFonts w:ascii="Times New Roman" w:hAnsi="Times New Roman" w:cs="Times New Roman"/>
        </w:rPr>
        <w:t>J</w:t>
      </w:r>
      <w:r w:rsidRPr="00AE78CD">
        <w:rPr>
          <w:rFonts w:ascii="Times New Roman" w:hAnsi="Times New Roman" w:cs="Times New Roman"/>
        </w:rPr>
        <w:t xml:space="preserve">ueces Palm, </w:t>
      </w:r>
      <w:proofErr w:type="spellStart"/>
      <w:r w:rsidRPr="00AE78CD">
        <w:rPr>
          <w:rFonts w:ascii="Times New Roman" w:hAnsi="Times New Roman" w:cs="Times New Roman"/>
        </w:rPr>
        <w:t>Foighel</w:t>
      </w:r>
      <w:proofErr w:type="spellEnd"/>
      <w:r w:rsidRPr="00AE78CD">
        <w:rPr>
          <w:rFonts w:ascii="Times New Roman" w:hAnsi="Times New Roman" w:cs="Times New Roman"/>
        </w:rPr>
        <w:t xml:space="preserve"> y </w:t>
      </w:r>
      <w:proofErr w:type="spellStart"/>
      <w:r w:rsidRPr="00AE78CD">
        <w:rPr>
          <w:rFonts w:ascii="Times New Roman" w:hAnsi="Times New Roman" w:cs="Times New Roman"/>
        </w:rPr>
        <w:t>Pekkanen</w:t>
      </w:r>
      <w:proofErr w:type="spellEnd"/>
      <w:r w:rsidRPr="00AE78CD">
        <w:rPr>
          <w:rFonts w:ascii="Times New Roman" w:hAnsi="Times New Roman" w:cs="Times New Roman"/>
        </w:rPr>
        <w:t xml:space="preserve">. </w:t>
      </w:r>
    </w:p>
  </w:footnote>
  <w:footnote w:id="14">
    <w:p w14:paraId="5EAFA2EB" w14:textId="11BB011A" w:rsidR="007B344A" w:rsidRPr="00AE78CD" w:rsidRDefault="007B344A" w:rsidP="00FD7BAC">
      <w:pPr>
        <w:pStyle w:val="Textonotapie"/>
        <w:jc w:val="both"/>
        <w:rPr>
          <w:rFonts w:ascii="Times New Roman" w:hAnsi="Times New Roman" w:cs="Times New Roman"/>
          <w:lang w:val="en-US"/>
        </w:rPr>
      </w:pPr>
      <w:r w:rsidRPr="00AE78CD">
        <w:rPr>
          <w:rStyle w:val="Refdenotaalpie"/>
          <w:rFonts w:ascii="Times New Roman" w:hAnsi="Times New Roman" w:cs="Times New Roman"/>
        </w:rPr>
        <w:footnoteRef/>
      </w:r>
      <w:r w:rsidRPr="00AE78CD">
        <w:rPr>
          <w:rFonts w:ascii="Times New Roman" w:hAnsi="Times New Roman" w:cs="Times New Roman"/>
        </w:rPr>
        <w:t xml:space="preserve"> En una segunda parte de su voto particular, el Juez Martens expone sus avanzadas y garantistas ideas respecto de la interpretación del art. 12 CEDH (derecho al matrimonio) en relación con la condición de las personas transexuales. Aunque de gran importancia, esta cuestión no se analizará en el detalle en esta sede por constituir un tema diferente del que pretende ocuparse este ensayo, a saber, el derecho del colectivo trans a ver reconocido legalmente su identidad sexual y la construcción de estándares mínimos en este ámbito en el entorno europeo. Sobre el tema del derecho al matrimonio de las personas transexuales puede verse, entre otros, A. LORENZETTI, </w:t>
      </w:r>
      <w:r w:rsidR="00853DAF">
        <w:rPr>
          <w:rFonts w:ascii="Times New Roman" w:hAnsi="Times New Roman" w:cs="Times New Roman"/>
        </w:rPr>
        <w:t>«</w:t>
      </w:r>
      <w:proofErr w:type="spellStart"/>
      <w:r w:rsidRPr="0060608C">
        <w:rPr>
          <w:rFonts w:ascii="Times New Roman" w:hAnsi="Times New Roman" w:cs="Times New Roman"/>
        </w:rPr>
        <w:t>The</w:t>
      </w:r>
      <w:proofErr w:type="spellEnd"/>
      <w:r w:rsidRPr="0060608C">
        <w:rPr>
          <w:rFonts w:ascii="Times New Roman" w:hAnsi="Times New Roman" w:cs="Times New Roman"/>
        </w:rPr>
        <w:t xml:space="preserve"> </w:t>
      </w:r>
      <w:proofErr w:type="spellStart"/>
      <w:r w:rsidRPr="0060608C">
        <w:rPr>
          <w:rFonts w:ascii="Times New Roman" w:hAnsi="Times New Roman" w:cs="Times New Roman"/>
        </w:rPr>
        <w:t>European</w:t>
      </w:r>
      <w:proofErr w:type="spellEnd"/>
      <w:r w:rsidRPr="0060608C">
        <w:rPr>
          <w:rFonts w:ascii="Times New Roman" w:hAnsi="Times New Roman" w:cs="Times New Roman"/>
        </w:rPr>
        <w:t xml:space="preserve"> </w:t>
      </w:r>
      <w:proofErr w:type="spellStart"/>
      <w:r w:rsidRPr="0060608C">
        <w:rPr>
          <w:rFonts w:ascii="Times New Roman" w:hAnsi="Times New Roman" w:cs="Times New Roman"/>
        </w:rPr>
        <w:t>Courts</w:t>
      </w:r>
      <w:proofErr w:type="spellEnd"/>
      <w:r w:rsidRPr="0060608C">
        <w:rPr>
          <w:rFonts w:ascii="Times New Roman" w:hAnsi="Times New Roman" w:cs="Times New Roman"/>
        </w:rPr>
        <w:t xml:space="preserve"> and </w:t>
      </w:r>
      <w:proofErr w:type="spellStart"/>
      <w:r w:rsidRPr="0060608C">
        <w:rPr>
          <w:rFonts w:ascii="Times New Roman" w:hAnsi="Times New Roman" w:cs="Times New Roman"/>
        </w:rPr>
        <w:t>Transsexuals</w:t>
      </w:r>
      <w:proofErr w:type="spellEnd"/>
      <w:r w:rsidRPr="0060608C">
        <w:rPr>
          <w:rFonts w:ascii="Times New Roman" w:hAnsi="Times New Roman" w:cs="Times New Roman"/>
        </w:rPr>
        <w:t xml:space="preserve">. </w:t>
      </w:r>
      <w:r w:rsidRPr="0060608C">
        <w:rPr>
          <w:rFonts w:ascii="Times New Roman" w:hAnsi="Times New Roman" w:cs="Times New Roman"/>
          <w:lang w:val="en-US"/>
        </w:rPr>
        <w:t>The Binary Distinction and the Pattern of Family</w:t>
      </w:r>
      <w:r w:rsidR="00853DAF">
        <w:rPr>
          <w:rFonts w:ascii="Times New Roman" w:hAnsi="Times New Roman" w:cs="Times New Roman"/>
          <w:lang w:val="en-US"/>
        </w:rPr>
        <w:t>»</w:t>
      </w:r>
      <w:r w:rsidRPr="00AE78CD">
        <w:rPr>
          <w:rFonts w:ascii="Times New Roman" w:hAnsi="Times New Roman" w:cs="Times New Roman"/>
          <w:lang w:val="en-US"/>
        </w:rPr>
        <w:t xml:space="preserve">, </w:t>
      </w:r>
      <w:proofErr w:type="spellStart"/>
      <w:r w:rsidRPr="00AE78CD">
        <w:rPr>
          <w:rFonts w:ascii="Times New Roman" w:hAnsi="Times New Roman" w:cs="Times New Roman"/>
          <w:lang w:val="en-US"/>
        </w:rPr>
        <w:t>en</w:t>
      </w:r>
      <w:proofErr w:type="spellEnd"/>
      <w:r w:rsidRPr="00AE78CD">
        <w:rPr>
          <w:rFonts w:ascii="Times New Roman" w:hAnsi="Times New Roman" w:cs="Times New Roman"/>
          <w:lang w:val="en-US"/>
        </w:rPr>
        <w:t xml:space="preserve"> M. González Pascual y A. Torres Pérez (</w:t>
      </w:r>
      <w:proofErr w:type="spellStart"/>
      <w:r w:rsidRPr="00AE78CD">
        <w:rPr>
          <w:rFonts w:ascii="Times New Roman" w:hAnsi="Times New Roman" w:cs="Times New Roman"/>
          <w:lang w:val="en-US"/>
        </w:rPr>
        <w:t>coords</w:t>
      </w:r>
      <w:proofErr w:type="spellEnd"/>
      <w:r w:rsidRPr="00AE78CD">
        <w:rPr>
          <w:rFonts w:ascii="Times New Roman" w:hAnsi="Times New Roman" w:cs="Times New Roman"/>
          <w:lang w:val="en-US"/>
        </w:rPr>
        <w:t xml:space="preserve">.), </w:t>
      </w:r>
      <w:r w:rsidRPr="0060608C">
        <w:rPr>
          <w:rFonts w:ascii="Times New Roman" w:hAnsi="Times New Roman" w:cs="Times New Roman"/>
          <w:i/>
          <w:lang w:val="en-US"/>
        </w:rPr>
        <w:t>The Right to Family Life in the European Union</w:t>
      </w:r>
      <w:r w:rsidRPr="00AE78CD">
        <w:rPr>
          <w:rFonts w:ascii="Times New Roman" w:hAnsi="Times New Roman" w:cs="Times New Roman"/>
          <w:lang w:val="en-US"/>
        </w:rPr>
        <w:t xml:space="preserve">, </w:t>
      </w:r>
      <w:proofErr w:type="spellStart"/>
      <w:r w:rsidRPr="0060608C">
        <w:rPr>
          <w:rFonts w:ascii="Times New Roman" w:hAnsi="Times New Roman" w:cs="Times New Roman"/>
          <w:lang w:val="en-US"/>
        </w:rPr>
        <w:t>Routlegde</w:t>
      </w:r>
      <w:proofErr w:type="spellEnd"/>
      <w:r w:rsidRPr="0060608C">
        <w:rPr>
          <w:rFonts w:ascii="Times New Roman" w:hAnsi="Times New Roman" w:cs="Times New Roman"/>
          <w:lang w:val="en-US"/>
        </w:rPr>
        <w:t>,</w:t>
      </w:r>
      <w:r w:rsidRPr="00AE78CD">
        <w:rPr>
          <w:rFonts w:ascii="Times New Roman" w:hAnsi="Times New Roman" w:cs="Times New Roman"/>
          <w:lang w:val="en-US"/>
        </w:rPr>
        <w:t xml:space="preserve"> Nueva York, pp. 85-98.</w:t>
      </w:r>
    </w:p>
  </w:footnote>
  <w:footnote w:id="15">
    <w:p w14:paraId="76E6D548" w14:textId="3A0A6081" w:rsidR="007B344A" w:rsidRPr="00AE78CD" w:rsidRDefault="007B344A" w:rsidP="00FD7BAC">
      <w:pPr>
        <w:pStyle w:val="Textonotapie"/>
        <w:jc w:val="both"/>
        <w:rPr>
          <w:rFonts w:ascii="Times New Roman" w:hAnsi="Times New Roman" w:cs="Times New Roman"/>
          <w:lang w:val="en-US"/>
        </w:rPr>
      </w:pPr>
      <w:r w:rsidRPr="00AE78CD">
        <w:rPr>
          <w:rStyle w:val="Refdenotaalpie"/>
          <w:rFonts w:ascii="Times New Roman" w:hAnsi="Times New Roman" w:cs="Times New Roman"/>
        </w:rPr>
        <w:footnoteRef/>
      </w:r>
      <w:r w:rsidRPr="00AE78CD">
        <w:rPr>
          <w:rFonts w:ascii="Times New Roman" w:hAnsi="Times New Roman" w:cs="Times New Roman"/>
          <w:lang w:val="en-US"/>
        </w:rPr>
        <w:t xml:space="preserve"> </w:t>
      </w:r>
      <w:r w:rsidR="00C16147">
        <w:fldChar w:fldCharType="begin"/>
      </w:r>
      <w:r w:rsidR="00C16147" w:rsidRPr="001B12B4">
        <w:rPr>
          <w:lang w:val="en-US"/>
        </w:rPr>
        <w:instrText xml:space="preserve"> HYPERLINK "https://hudoc.echr.coe.int/spa" \l "{%22itemid%22:[%22001-57770%22]}" </w:instrText>
      </w:r>
      <w:r w:rsidR="00C16147">
        <w:fldChar w:fldCharType="separate"/>
      </w:r>
      <w:r w:rsidRPr="00AE78CD">
        <w:rPr>
          <w:rStyle w:val="Hipervnculo"/>
          <w:rFonts w:ascii="Times New Roman" w:hAnsi="Times New Roman" w:cs="Times New Roman"/>
          <w:lang w:val="en-US"/>
        </w:rPr>
        <w:t>https://hudoc.echr.coe.int/spa#{%22itemid%22:[%22001-57770%22]}</w:t>
      </w:r>
      <w:r w:rsidR="00C16147">
        <w:rPr>
          <w:rStyle w:val="Hipervnculo"/>
          <w:rFonts w:ascii="Times New Roman" w:hAnsi="Times New Roman" w:cs="Times New Roman"/>
          <w:lang w:val="en-US"/>
        </w:rPr>
        <w:fldChar w:fldCharType="end"/>
      </w:r>
      <w:r w:rsidRPr="00AE78CD">
        <w:rPr>
          <w:rFonts w:ascii="Times New Roman" w:hAnsi="Times New Roman" w:cs="Times New Roman"/>
          <w:lang w:val="en-US"/>
        </w:rPr>
        <w:t xml:space="preserve">. </w:t>
      </w:r>
    </w:p>
  </w:footnote>
  <w:footnote w:id="16">
    <w:p w14:paraId="7F469994" w14:textId="3C8823E4" w:rsidR="007B344A" w:rsidRPr="00AE78CD" w:rsidRDefault="007B344A" w:rsidP="00FD7BAC">
      <w:pPr>
        <w:pStyle w:val="Textonotapie"/>
        <w:jc w:val="both"/>
        <w:rPr>
          <w:rFonts w:ascii="Times New Roman" w:hAnsi="Times New Roman" w:cs="Times New Roman"/>
        </w:rPr>
      </w:pPr>
      <w:r w:rsidRPr="00AE78CD">
        <w:rPr>
          <w:rStyle w:val="Refdenotaalpie"/>
          <w:rFonts w:ascii="Times New Roman" w:hAnsi="Times New Roman" w:cs="Times New Roman"/>
        </w:rPr>
        <w:footnoteRef/>
      </w:r>
      <w:r w:rsidRPr="00AE78CD">
        <w:rPr>
          <w:rFonts w:ascii="Times New Roman" w:hAnsi="Times New Roman" w:cs="Times New Roman"/>
        </w:rPr>
        <w:t xml:space="preserve"> X. PALAU ALTARRIBA, </w:t>
      </w:r>
      <w:r w:rsidRPr="00AE78CD">
        <w:rPr>
          <w:rFonts w:ascii="Times New Roman" w:hAnsi="Times New Roman" w:cs="Times New Roman"/>
          <w:i/>
        </w:rPr>
        <w:t>Identidad sexual y libre desarrollo de la personalidad</w:t>
      </w:r>
      <w:r w:rsidRPr="00AE78CD">
        <w:rPr>
          <w:rFonts w:ascii="Times New Roman" w:hAnsi="Times New Roman" w:cs="Times New Roman"/>
        </w:rPr>
        <w:t xml:space="preserve"> (tesis doctoral,</w:t>
      </w:r>
      <w:r w:rsidR="00FD7BAC">
        <w:rPr>
          <w:rFonts w:ascii="Times New Roman" w:hAnsi="Times New Roman" w:cs="Times New Roman"/>
        </w:rPr>
        <w:t xml:space="preserve"> </w:t>
      </w:r>
      <w:r w:rsidRPr="00AE78CD">
        <w:rPr>
          <w:rFonts w:ascii="Times New Roman" w:hAnsi="Times New Roman" w:cs="Times New Roman"/>
        </w:rPr>
        <w:t xml:space="preserve">Universidad de Lleida, Departamento de Derecho Privado), 2016, parágrafo 4.7.2, disponible en </w:t>
      </w:r>
      <w:hyperlink r:id="rId10" w:history="1">
        <w:r w:rsidRPr="00AE78CD">
          <w:rPr>
            <w:rStyle w:val="Hipervnculo"/>
            <w:rFonts w:ascii="Times New Roman" w:hAnsi="Times New Roman" w:cs="Times New Roman"/>
          </w:rPr>
          <w:t>https://www.tdx.cat/bitstream/handle/10803/386390/Txpa1de1.pdf.txt;jsessionid=ECCB9510C439E4C173A2A2971BE461B0?sequence=3</w:t>
        </w:r>
      </w:hyperlink>
      <w:r w:rsidRPr="00AE78CD">
        <w:rPr>
          <w:rFonts w:ascii="Times New Roman" w:hAnsi="Times New Roman" w:cs="Times New Roman"/>
        </w:rPr>
        <w:t xml:space="preserve">. </w:t>
      </w:r>
    </w:p>
  </w:footnote>
  <w:footnote w:id="17">
    <w:p w14:paraId="19FBA893" w14:textId="2548E66F" w:rsidR="007B344A" w:rsidRPr="00AE78CD" w:rsidRDefault="007B344A" w:rsidP="00AE78CD">
      <w:pPr>
        <w:pStyle w:val="Textonotapie"/>
        <w:jc w:val="both"/>
        <w:rPr>
          <w:rFonts w:ascii="Times New Roman" w:hAnsi="Times New Roman" w:cs="Times New Roman"/>
        </w:rPr>
      </w:pPr>
      <w:r w:rsidRPr="00AE78CD">
        <w:rPr>
          <w:rStyle w:val="Refdenotaalpie"/>
          <w:rFonts w:ascii="Times New Roman" w:hAnsi="Times New Roman" w:cs="Times New Roman"/>
        </w:rPr>
        <w:footnoteRef/>
      </w:r>
      <w:r w:rsidRPr="00AE78CD">
        <w:rPr>
          <w:rFonts w:ascii="Times New Roman" w:hAnsi="Times New Roman" w:cs="Times New Roman"/>
        </w:rPr>
        <w:t xml:space="preserve"> </w:t>
      </w:r>
      <w:hyperlink r:id="rId11" w:anchor="{%22tabview%22:[%22document%22],%22itemid%22:[%22001-58032%22]}" w:history="1">
        <w:r w:rsidRPr="00AE78CD">
          <w:rPr>
            <w:rStyle w:val="Hipervnculo"/>
            <w:rFonts w:ascii="Times New Roman" w:hAnsi="Times New Roman" w:cs="Times New Roman"/>
          </w:rPr>
          <w:t>https://hudoc.echr.coe.int/fre#{%22tabview%22:[%22document%22],%22itemid%22:[%22001-58032%22]}</w:t>
        </w:r>
      </w:hyperlink>
      <w:r w:rsidRPr="00AE78CD">
        <w:rPr>
          <w:rFonts w:ascii="Times New Roman" w:hAnsi="Times New Roman" w:cs="Times New Roman"/>
        </w:rPr>
        <w:t xml:space="preserve">. </w:t>
      </w:r>
    </w:p>
  </w:footnote>
  <w:footnote w:id="18">
    <w:p w14:paraId="069B9B26" w14:textId="38DAFA97" w:rsidR="007B344A" w:rsidRPr="00AE78CD" w:rsidRDefault="007B344A" w:rsidP="00AE78CD">
      <w:pPr>
        <w:pStyle w:val="Textonotapie"/>
        <w:jc w:val="both"/>
        <w:rPr>
          <w:rFonts w:ascii="Times New Roman" w:hAnsi="Times New Roman" w:cs="Times New Roman"/>
        </w:rPr>
      </w:pPr>
      <w:r w:rsidRPr="00AE78CD">
        <w:rPr>
          <w:rStyle w:val="Refdenotaalpie"/>
          <w:rFonts w:ascii="Times New Roman" w:hAnsi="Times New Roman" w:cs="Times New Roman"/>
        </w:rPr>
        <w:footnoteRef/>
      </w:r>
      <w:r w:rsidRPr="00AE78CD">
        <w:rPr>
          <w:rFonts w:ascii="Times New Roman" w:hAnsi="Times New Roman" w:cs="Times New Roman"/>
        </w:rPr>
        <w:t xml:space="preserve"> La Comisión había reconocido, por trece votos a favor y cinco en contra, que hubo violación del art. 8 CEDH.</w:t>
      </w:r>
    </w:p>
  </w:footnote>
  <w:footnote w:id="19">
    <w:p w14:paraId="201FF9B5" w14:textId="2A811644" w:rsidR="007B344A" w:rsidRPr="00AE78CD" w:rsidRDefault="007B344A" w:rsidP="00AE78CD">
      <w:pPr>
        <w:pStyle w:val="Textonotapie"/>
        <w:jc w:val="both"/>
        <w:rPr>
          <w:rFonts w:ascii="Times New Roman" w:hAnsi="Times New Roman" w:cs="Times New Roman"/>
        </w:rPr>
      </w:pPr>
      <w:r w:rsidRPr="00AE78CD">
        <w:rPr>
          <w:rStyle w:val="Refdenotaalpie"/>
          <w:rFonts w:ascii="Times New Roman" w:hAnsi="Times New Roman" w:cs="Times New Roman"/>
        </w:rPr>
        <w:footnoteRef/>
      </w:r>
      <w:r w:rsidRPr="00AE78CD">
        <w:rPr>
          <w:rFonts w:ascii="Times New Roman" w:hAnsi="Times New Roman" w:cs="Times New Roman"/>
        </w:rPr>
        <w:t xml:space="preserve"> En la jurisprudencia del TEDH existe otro caso relativo a las relaciones paternofiliales de una persona transexual con un menor (en este segundo caso, hijo natural de la persona transexual, concebido antes de la decisión de cambiar de sexo). Se trata de la famosa sentencia de 30 de noviembre de 2010,</w:t>
      </w:r>
      <w:r w:rsidRPr="00AE78CD">
        <w:rPr>
          <w:rFonts w:ascii="Times New Roman" w:hAnsi="Times New Roman" w:cs="Times New Roman"/>
          <w:b/>
        </w:rPr>
        <w:t xml:space="preserve"> </w:t>
      </w:r>
      <w:r w:rsidRPr="00867D82">
        <w:rPr>
          <w:rFonts w:ascii="Times New Roman" w:hAnsi="Times New Roman" w:cs="Times New Roman"/>
        </w:rPr>
        <w:t xml:space="preserve">asunto </w:t>
      </w:r>
      <w:r w:rsidRPr="00867D82">
        <w:rPr>
          <w:rFonts w:ascii="Times New Roman" w:hAnsi="Times New Roman" w:cs="Times New Roman"/>
          <w:i/>
          <w:iCs/>
        </w:rPr>
        <w:t>P.V. c. España</w:t>
      </w:r>
      <w:r w:rsidRPr="00867D82">
        <w:rPr>
          <w:rFonts w:ascii="Times New Roman" w:hAnsi="Times New Roman" w:cs="Times New Roman"/>
        </w:rPr>
        <w:t>,</w:t>
      </w:r>
      <w:r w:rsidRPr="00AE78CD">
        <w:rPr>
          <w:rFonts w:ascii="Times New Roman" w:hAnsi="Times New Roman" w:cs="Times New Roman"/>
        </w:rPr>
        <w:t xml:space="preserve"> </w:t>
      </w:r>
      <w:hyperlink r:id="rId12" w:anchor="{%22tabview%22:[%22document%22],%22itemid%22:[%22001-101943%22]}" w:history="1">
        <w:r w:rsidRPr="00AE78CD">
          <w:rPr>
            <w:rStyle w:val="Hipervnculo"/>
            <w:rFonts w:ascii="Times New Roman" w:hAnsi="Times New Roman" w:cs="Times New Roman"/>
          </w:rPr>
          <w:t>https://hudoc.echr.coe.int/spa#{%22tabview%22:[%22document%22],%22itemid%22:[%22001-101943%22]}</w:t>
        </w:r>
      </w:hyperlink>
      <w:r w:rsidRPr="00AE78CD">
        <w:rPr>
          <w:rFonts w:ascii="Times New Roman" w:hAnsi="Times New Roman" w:cs="Times New Roman"/>
        </w:rPr>
        <w:t xml:space="preserve">. En ella, el TEDH demostrará una actitud mucho más abierta respecto de las relaciones entre progenitores transexuales y menores. Sin embargo, por no aportar elementos innovadores útiles para esta investigación, la decisión no será aquí analizada. Puede consultarse, a este propósito: M. MARTÍN SÁNCHEZ, «Conflictos paterno-filiales y condición sexual en la jurisprudencia del Tribunal Europeo de Derechos Humanos. Patria potestad y custodia», </w:t>
      </w:r>
      <w:r w:rsidRPr="00AE78CD">
        <w:rPr>
          <w:rFonts w:ascii="Times New Roman" w:hAnsi="Times New Roman" w:cs="Times New Roman"/>
          <w:i/>
        </w:rPr>
        <w:t>Revista Europea de Derechos Fundamentales</w:t>
      </w:r>
      <w:r w:rsidRPr="00AE78CD">
        <w:rPr>
          <w:rFonts w:ascii="Times New Roman" w:hAnsi="Times New Roman" w:cs="Times New Roman"/>
        </w:rPr>
        <w:t>, segundo semestre 2014, 24, pp. 195-219; S. ROMBOLI, «Protección del interés superior del menor y derechos de los progenitores transexuales: dos piezas que encajar (y ponderar)», en T. Duplá (</w:t>
      </w:r>
      <w:proofErr w:type="spellStart"/>
      <w:r w:rsidRPr="00AE78CD">
        <w:rPr>
          <w:rFonts w:ascii="Times New Roman" w:hAnsi="Times New Roman" w:cs="Times New Roman"/>
        </w:rPr>
        <w:t>dir.</w:t>
      </w:r>
      <w:proofErr w:type="spellEnd"/>
      <w:r w:rsidRPr="00AE78CD">
        <w:rPr>
          <w:rFonts w:ascii="Times New Roman" w:hAnsi="Times New Roman" w:cs="Times New Roman"/>
        </w:rPr>
        <w:t xml:space="preserve">), </w:t>
      </w:r>
      <w:r w:rsidRPr="00AE78CD">
        <w:rPr>
          <w:rFonts w:ascii="Times New Roman" w:hAnsi="Times New Roman" w:cs="Times New Roman"/>
          <w:i/>
        </w:rPr>
        <w:t>Nuevos Retos del Derecho de Familia en una sociedad inclusiva y global</w:t>
      </w:r>
      <w:r w:rsidRPr="00AE78CD">
        <w:rPr>
          <w:rFonts w:ascii="Times New Roman" w:hAnsi="Times New Roman" w:cs="Times New Roman"/>
        </w:rPr>
        <w:t xml:space="preserve">, Tirant Lo Blanch, 2022 (en prensa), pp. 1-31. </w:t>
      </w:r>
    </w:p>
  </w:footnote>
  <w:footnote w:id="20">
    <w:p w14:paraId="670F09CF" w14:textId="10B2E609" w:rsidR="007B344A" w:rsidRPr="00AE78CD" w:rsidRDefault="007B344A" w:rsidP="00AE78CD">
      <w:pPr>
        <w:pStyle w:val="Textonotapie"/>
        <w:jc w:val="both"/>
        <w:rPr>
          <w:rFonts w:ascii="Times New Roman" w:hAnsi="Times New Roman" w:cs="Times New Roman"/>
        </w:rPr>
      </w:pPr>
      <w:r w:rsidRPr="00AE78CD">
        <w:rPr>
          <w:rStyle w:val="Refdenotaalpie"/>
          <w:rFonts w:ascii="Times New Roman" w:hAnsi="Times New Roman" w:cs="Times New Roman"/>
        </w:rPr>
        <w:footnoteRef/>
      </w:r>
      <w:r w:rsidRPr="00AE78CD">
        <w:rPr>
          <w:rFonts w:ascii="Times New Roman" w:hAnsi="Times New Roman" w:cs="Times New Roman"/>
        </w:rPr>
        <w:t xml:space="preserve"> </w:t>
      </w:r>
      <w:hyperlink r:id="rId13" w:anchor="{%22itemid%22:[%22001-58212%22]}" w:history="1">
        <w:r w:rsidRPr="00AE78CD">
          <w:rPr>
            <w:rStyle w:val="Hipervnculo"/>
            <w:rFonts w:ascii="Times New Roman" w:hAnsi="Times New Roman" w:cs="Times New Roman"/>
          </w:rPr>
          <w:t>https://hudoc.echr.coe.int/fre#{%22itemid%22:[%22001-58212%22]}</w:t>
        </w:r>
      </w:hyperlink>
      <w:r w:rsidRPr="00AE78CD">
        <w:rPr>
          <w:rFonts w:ascii="Times New Roman" w:hAnsi="Times New Roman" w:cs="Times New Roman"/>
        </w:rPr>
        <w:t xml:space="preserve">. </w:t>
      </w:r>
    </w:p>
  </w:footnote>
  <w:footnote w:id="21">
    <w:p w14:paraId="64681415" w14:textId="0CDF7F83" w:rsidR="007B344A" w:rsidRPr="00AE78CD" w:rsidRDefault="007B344A" w:rsidP="00AE78CD">
      <w:pPr>
        <w:pStyle w:val="Textonotapie"/>
        <w:jc w:val="both"/>
        <w:rPr>
          <w:rFonts w:ascii="Times New Roman" w:hAnsi="Times New Roman" w:cs="Times New Roman"/>
        </w:rPr>
      </w:pPr>
      <w:r w:rsidRPr="00AE78CD">
        <w:rPr>
          <w:rStyle w:val="Refdenotaalpie"/>
          <w:rFonts w:ascii="Times New Roman" w:hAnsi="Times New Roman" w:cs="Times New Roman"/>
        </w:rPr>
        <w:footnoteRef/>
      </w:r>
      <w:r w:rsidRPr="00AE78CD">
        <w:rPr>
          <w:rFonts w:ascii="Times New Roman" w:hAnsi="Times New Roman" w:cs="Times New Roman"/>
        </w:rPr>
        <w:t xml:space="preserve"> </w:t>
      </w:r>
      <w:hyperlink r:id="rId14" w:anchor="{%22languageisocode%22:[%22FRE%22],%22appno%22:[%2228957/95%22],%22documentcollectionid2%22:[%22GRANDCHAMBER%22],%22itemid%22:[%22001-65153%22]}" w:history="1">
        <w:r w:rsidRPr="00AE78CD">
          <w:rPr>
            <w:rStyle w:val="Hipervnculo"/>
            <w:rFonts w:ascii="Times New Roman" w:hAnsi="Times New Roman" w:cs="Times New Roman"/>
          </w:rPr>
          <w:t>https://hudoc.echr.coe.int/eng#{%22languageisocode%22:[%22FRE%22],%22appno%22:[%2228957/95%22],%22documentcollectionid2%22:[%22GRANDCHAMBER%22],%22itemid%22:[%22001-65153%22]}</w:t>
        </w:r>
      </w:hyperlink>
      <w:r w:rsidRPr="00AE78CD">
        <w:rPr>
          <w:rFonts w:ascii="Times New Roman" w:hAnsi="Times New Roman" w:cs="Times New Roman"/>
        </w:rPr>
        <w:t xml:space="preserve">. </w:t>
      </w:r>
    </w:p>
    <w:p w14:paraId="52B75370" w14:textId="251B8A5E" w:rsidR="007B344A" w:rsidRPr="00AE78CD" w:rsidRDefault="007B344A" w:rsidP="00AE78CD">
      <w:pPr>
        <w:pStyle w:val="Textonotapie"/>
        <w:jc w:val="both"/>
        <w:rPr>
          <w:rFonts w:ascii="Times New Roman" w:hAnsi="Times New Roman" w:cs="Times New Roman"/>
        </w:rPr>
      </w:pPr>
      <w:r w:rsidRPr="00AE78CD">
        <w:rPr>
          <w:rFonts w:ascii="Times New Roman" w:hAnsi="Times New Roman" w:cs="Times New Roman"/>
        </w:rPr>
        <w:t xml:space="preserve">El mismo año, en el caso </w:t>
      </w:r>
      <w:r w:rsidRPr="00AE78CD">
        <w:rPr>
          <w:rFonts w:ascii="Times New Roman" w:hAnsi="Times New Roman" w:cs="Times New Roman"/>
          <w:i/>
        </w:rPr>
        <w:t>I. contra Reino Unido</w:t>
      </w:r>
      <w:r w:rsidRPr="00AE78CD">
        <w:rPr>
          <w:rFonts w:ascii="Times New Roman" w:hAnsi="Times New Roman" w:cs="Times New Roman"/>
        </w:rPr>
        <w:t xml:space="preserve">, cerrado con sentencia de 11 de julio de 2002, el TEDH resolvió un asunto similar al de la Sra. Goodwin, con las mismas conclusiones por parte del Tribunal, v. </w:t>
      </w:r>
      <w:hyperlink r:id="rId15" w:anchor="{%22fulltext%22:[%22\%22CASE%20OF%20I.%20v.%20THE%20UNITED%20KINGDOM\%22%22],%22documentcollectionid2%22:[%22GRANDCHAMBER%22,%22CHAMBER%22],%22itemid%22:[%22001-60595%22" w:history="1">
        <w:r w:rsidRPr="00AE78CD">
          <w:rPr>
            <w:rStyle w:val="Hipervnculo"/>
            <w:rFonts w:ascii="Times New Roman" w:hAnsi="Times New Roman" w:cs="Times New Roman"/>
          </w:rPr>
          <w:t>https://hudoc.echr.coe.int/spa#{%22fulltext%22:[%22\%22CASE%20OF%20I.%20v.%20THE%20UNITED%20KINGDOM\%22%22],%22documentcollectionid2%22:[%22GRANDCHAMBER%22,%22CHAMBER%22],%22itemid%22:[%22001-60595%22</w:t>
        </w:r>
      </w:hyperlink>
      <w:r w:rsidRPr="00AE78CD">
        <w:rPr>
          <w:rFonts w:ascii="Times New Roman" w:hAnsi="Times New Roman" w:cs="Times New Roman"/>
        </w:rPr>
        <w:t>].</w:t>
      </w:r>
    </w:p>
  </w:footnote>
  <w:footnote w:id="22">
    <w:p w14:paraId="45AC9F70" w14:textId="63063240" w:rsidR="007B344A" w:rsidRPr="00AE78CD" w:rsidRDefault="007B344A" w:rsidP="00AE78CD">
      <w:pPr>
        <w:pStyle w:val="Textonotapie"/>
        <w:jc w:val="both"/>
        <w:rPr>
          <w:rFonts w:ascii="Times New Roman" w:hAnsi="Times New Roman" w:cs="Times New Roman"/>
        </w:rPr>
      </w:pPr>
      <w:r w:rsidRPr="00AE78CD">
        <w:rPr>
          <w:rStyle w:val="Refdenotaalpie"/>
          <w:rFonts w:ascii="Times New Roman" w:hAnsi="Times New Roman" w:cs="Times New Roman"/>
        </w:rPr>
        <w:footnoteRef/>
      </w:r>
      <w:r w:rsidRPr="00AE78CD">
        <w:rPr>
          <w:rFonts w:ascii="Times New Roman" w:hAnsi="Times New Roman" w:cs="Times New Roman"/>
        </w:rPr>
        <w:t xml:space="preserve"> Este dato es importante, porque se trataba de una persona transexual que se había sometido a una operación de reasignación del sexo. Deberá pasar mucho más tiempo para que se empezara a reconocer el derecho a la identidad sexual también de aquellas personas que no quisieran someterse a tratamiento hormonales o quirúrgicos para adecuar el sexo psicológico al sexo biológico. </w:t>
      </w:r>
    </w:p>
  </w:footnote>
  <w:footnote w:id="23">
    <w:p w14:paraId="70EA4F5F" w14:textId="415ABF06" w:rsidR="0011469B" w:rsidRPr="00AE78CD" w:rsidRDefault="0011469B" w:rsidP="00AE78CD">
      <w:pPr>
        <w:pStyle w:val="Textonotapie"/>
        <w:jc w:val="both"/>
        <w:rPr>
          <w:rFonts w:ascii="Times New Roman" w:hAnsi="Times New Roman" w:cs="Times New Roman"/>
        </w:rPr>
      </w:pPr>
      <w:r w:rsidRPr="00AE78CD">
        <w:rPr>
          <w:rStyle w:val="Refdenotaalpie"/>
          <w:rFonts w:ascii="Times New Roman" w:hAnsi="Times New Roman" w:cs="Times New Roman"/>
        </w:rPr>
        <w:footnoteRef/>
      </w:r>
      <w:r w:rsidR="00AE78CD" w:rsidRPr="00AE78CD">
        <w:rPr>
          <w:rFonts w:ascii="Times New Roman" w:hAnsi="Times New Roman" w:cs="Times New Roman"/>
        </w:rPr>
        <w:t xml:space="preserve"> Vid. </w:t>
      </w:r>
      <w:r w:rsidRPr="00AE78CD">
        <w:rPr>
          <w:rFonts w:ascii="Times New Roman" w:hAnsi="Times New Roman" w:cs="Times New Roman"/>
        </w:rPr>
        <w:t xml:space="preserve"> </w:t>
      </w:r>
      <w:r w:rsidR="00AE78CD" w:rsidRPr="00AE78CD">
        <w:rPr>
          <w:rFonts w:ascii="Times New Roman" w:hAnsi="Times New Roman" w:cs="Times New Roman"/>
        </w:rPr>
        <w:t>J. VILJANEN «</w:t>
      </w:r>
      <w:proofErr w:type="spellStart"/>
      <w:r w:rsidR="00AE78CD" w:rsidRPr="00AE78CD">
        <w:rPr>
          <w:rFonts w:ascii="Times New Roman" w:hAnsi="Times New Roman" w:cs="Times New Roman"/>
        </w:rPr>
        <w:t>The</w:t>
      </w:r>
      <w:proofErr w:type="spellEnd"/>
      <w:r w:rsidR="00AE78CD" w:rsidRPr="00AE78CD">
        <w:rPr>
          <w:rFonts w:ascii="Times New Roman" w:hAnsi="Times New Roman" w:cs="Times New Roman"/>
        </w:rPr>
        <w:t xml:space="preserve"> Role </w:t>
      </w:r>
      <w:proofErr w:type="spellStart"/>
      <w:r w:rsidR="00AE78CD" w:rsidRPr="00AE78CD">
        <w:rPr>
          <w:rFonts w:ascii="Times New Roman" w:hAnsi="Times New Roman" w:cs="Times New Roman"/>
        </w:rPr>
        <w:t>of</w:t>
      </w:r>
      <w:proofErr w:type="spellEnd"/>
      <w:r w:rsidR="00AE78CD" w:rsidRPr="00AE78CD">
        <w:rPr>
          <w:rFonts w:ascii="Times New Roman" w:hAnsi="Times New Roman" w:cs="Times New Roman"/>
        </w:rPr>
        <w:t xml:space="preserve"> </w:t>
      </w:r>
      <w:proofErr w:type="spellStart"/>
      <w:r w:rsidR="00AE78CD" w:rsidRPr="00AE78CD">
        <w:rPr>
          <w:rFonts w:ascii="Times New Roman" w:hAnsi="Times New Roman" w:cs="Times New Roman"/>
        </w:rPr>
        <w:t>the</w:t>
      </w:r>
      <w:proofErr w:type="spellEnd"/>
      <w:r w:rsidR="00AE78CD" w:rsidRPr="00AE78CD">
        <w:rPr>
          <w:rFonts w:ascii="Times New Roman" w:hAnsi="Times New Roman" w:cs="Times New Roman"/>
        </w:rPr>
        <w:t xml:space="preserve"> </w:t>
      </w:r>
      <w:proofErr w:type="spellStart"/>
      <w:r w:rsidR="00AE78CD" w:rsidRPr="00AE78CD">
        <w:rPr>
          <w:rFonts w:ascii="Times New Roman" w:hAnsi="Times New Roman" w:cs="Times New Roman"/>
        </w:rPr>
        <w:t>European</w:t>
      </w:r>
      <w:proofErr w:type="spellEnd"/>
      <w:r w:rsidR="00AE78CD" w:rsidRPr="00AE78CD">
        <w:rPr>
          <w:rFonts w:ascii="Times New Roman" w:hAnsi="Times New Roman" w:cs="Times New Roman"/>
        </w:rPr>
        <w:t xml:space="preserve"> </w:t>
      </w:r>
      <w:proofErr w:type="spellStart"/>
      <w:r w:rsidR="00AE78CD" w:rsidRPr="00AE78CD">
        <w:rPr>
          <w:rFonts w:ascii="Times New Roman" w:hAnsi="Times New Roman" w:cs="Times New Roman"/>
        </w:rPr>
        <w:t>Court</w:t>
      </w:r>
      <w:proofErr w:type="spellEnd"/>
      <w:r w:rsidR="00AE78CD" w:rsidRPr="00AE78CD">
        <w:rPr>
          <w:rFonts w:ascii="Times New Roman" w:hAnsi="Times New Roman" w:cs="Times New Roman"/>
        </w:rPr>
        <w:t xml:space="preserve"> </w:t>
      </w:r>
      <w:proofErr w:type="spellStart"/>
      <w:r w:rsidR="00AE78CD" w:rsidRPr="00AE78CD">
        <w:rPr>
          <w:rFonts w:ascii="Times New Roman" w:hAnsi="Times New Roman" w:cs="Times New Roman"/>
        </w:rPr>
        <w:t>of</w:t>
      </w:r>
      <w:proofErr w:type="spellEnd"/>
      <w:r w:rsidR="00AE78CD" w:rsidRPr="00AE78CD">
        <w:rPr>
          <w:rFonts w:ascii="Times New Roman" w:hAnsi="Times New Roman" w:cs="Times New Roman"/>
        </w:rPr>
        <w:t xml:space="preserve"> Human </w:t>
      </w:r>
      <w:proofErr w:type="spellStart"/>
      <w:r w:rsidR="00AE78CD" w:rsidRPr="00AE78CD">
        <w:rPr>
          <w:rFonts w:ascii="Times New Roman" w:hAnsi="Times New Roman" w:cs="Times New Roman"/>
        </w:rPr>
        <w:t>Rights</w:t>
      </w:r>
      <w:proofErr w:type="spellEnd"/>
      <w:r w:rsidR="00AE78CD" w:rsidRPr="00AE78CD">
        <w:rPr>
          <w:rFonts w:ascii="Times New Roman" w:hAnsi="Times New Roman" w:cs="Times New Roman"/>
        </w:rPr>
        <w:t xml:space="preserve"> as a </w:t>
      </w:r>
      <w:proofErr w:type="spellStart"/>
      <w:r w:rsidR="00AE78CD" w:rsidRPr="00AE78CD">
        <w:rPr>
          <w:rFonts w:ascii="Times New Roman" w:hAnsi="Times New Roman" w:cs="Times New Roman"/>
        </w:rPr>
        <w:t>Developer</w:t>
      </w:r>
      <w:proofErr w:type="spellEnd"/>
      <w:r w:rsidR="00AE78CD" w:rsidRPr="00AE78CD">
        <w:rPr>
          <w:rFonts w:ascii="Times New Roman" w:hAnsi="Times New Roman" w:cs="Times New Roman"/>
        </w:rPr>
        <w:t xml:space="preserve"> </w:t>
      </w:r>
      <w:proofErr w:type="spellStart"/>
      <w:r w:rsidR="00AE78CD" w:rsidRPr="00AE78CD">
        <w:rPr>
          <w:rFonts w:ascii="Times New Roman" w:hAnsi="Times New Roman" w:cs="Times New Roman"/>
        </w:rPr>
        <w:t>of</w:t>
      </w:r>
      <w:proofErr w:type="spellEnd"/>
      <w:r w:rsidR="00AE78CD" w:rsidRPr="00AE78CD">
        <w:rPr>
          <w:rFonts w:ascii="Times New Roman" w:hAnsi="Times New Roman" w:cs="Times New Roman"/>
        </w:rPr>
        <w:t xml:space="preserve"> International Human </w:t>
      </w:r>
      <w:proofErr w:type="spellStart"/>
      <w:r w:rsidR="00AE78CD" w:rsidRPr="00AE78CD">
        <w:rPr>
          <w:rFonts w:ascii="Times New Roman" w:hAnsi="Times New Roman" w:cs="Times New Roman"/>
        </w:rPr>
        <w:t>Rights</w:t>
      </w:r>
      <w:proofErr w:type="spellEnd"/>
      <w:r w:rsidR="00AE78CD" w:rsidRPr="00AE78CD">
        <w:rPr>
          <w:rFonts w:ascii="Times New Roman" w:hAnsi="Times New Roman" w:cs="Times New Roman"/>
        </w:rPr>
        <w:t xml:space="preserve"> </w:t>
      </w:r>
      <w:proofErr w:type="spellStart"/>
      <w:r w:rsidR="00AE78CD" w:rsidRPr="00AE78CD">
        <w:rPr>
          <w:rFonts w:ascii="Times New Roman" w:hAnsi="Times New Roman" w:cs="Times New Roman"/>
        </w:rPr>
        <w:t>Law</w:t>
      </w:r>
      <w:proofErr w:type="spellEnd"/>
      <w:r w:rsidR="00AE78CD" w:rsidRPr="00AE78CD">
        <w:rPr>
          <w:rFonts w:ascii="Times New Roman" w:hAnsi="Times New Roman" w:cs="Times New Roman"/>
        </w:rPr>
        <w:t xml:space="preserve">», </w:t>
      </w:r>
      <w:r w:rsidR="00AE78CD" w:rsidRPr="00AE78CD">
        <w:rPr>
          <w:rFonts w:ascii="Times New Roman" w:hAnsi="Times New Roman" w:cs="Times New Roman"/>
          <w:i/>
        </w:rPr>
        <w:t xml:space="preserve">Cuadernos Constitucionales de la Cátedra Fadrique </w:t>
      </w:r>
      <w:proofErr w:type="spellStart"/>
      <w:r w:rsidR="00AE78CD" w:rsidRPr="00AE78CD">
        <w:rPr>
          <w:rFonts w:ascii="Times New Roman" w:hAnsi="Times New Roman" w:cs="Times New Roman"/>
          <w:i/>
        </w:rPr>
        <w:t>Furió</w:t>
      </w:r>
      <w:proofErr w:type="spellEnd"/>
      <w:r w:rsidR="00AE78CD" w:rsidRPr="00AE78CD">
        <w:rPr>
          <w:rFonts w:ascii="Times New Roman" w:hAnsi="Times New Roman" w:cs="Times New Roman"/>
          <w:i/>
        </w:rPr>
        <w:t xml:space="preserve"> </w:t>
      </w:r>
      <w:proofErr w:type="spellStart"/>
      <w:r w:rsidR="00AE78CD" w:rsidRPr="00AE78CD">
        <w:rPr>
          <w:rFonts w:ascii="Times New Roman" w:hAnsi="Times New Roman" w:cs="Times New Roman"/>
          <w:i/>
        </w:rPr>
        <w:t>Ceriol</w:t>
      </w:r>
      <w:proofErr w:type="spellEnd"/>
      <w:r w:rsidR="00AE78CD" w:rsidRPr="00AE78CD">
        <w:rPr>
          <w:rFonts w:ascii="Times New Roman" w:hAnsi="Times New Roman" w:cs="Times New Roman"/>
        </w:rPr>
        <w:t xml:space="preserve">, n. 62/63, 2008, pp. 249-265; el autor, respecto de estos epígrafes de la sentencia, evidencia también como el TEDH haga </w:t>
      </w:r>
      <w:r w:rsidR="00B242D0">
        <w:rPr>
          <w:rFonts w:ascii="Times New Roman" w:hAnsi="Times New Roman" w:cs="Times New Roman"/>
        </w:rPr>
        <w:t>hi</w:t>
      </w:r>
      <w:r w:rsidR="00AE78CD" w:rsidRPr="00AE78CD">
        <w:rPr>
          <w:rFonts w:ascii="Times New Roman" w:hAnsi="Times New Roman" w:cs="Times New Roman"/>
        </w:rPr>
        <w:t xml:space="preserve">ncapié, a través de esta sentencia, en su papel no solo a nivel regional sino a nivel universal, enfatizando un enfoque evolutivo para la interpretación de los derechos humanos. </w:t>
      </w:r>
      <w:r w:rsidR="00B242D0">
        <w:rPr>
          <w:rFonts w:ascii="Times New Roman" w:hAnsi="Times New Roman" w:cs="Times New Roman"/>
        </w:rPr>
        <w:t>En efecto, el Tribunal afirmará que “</w:t>
      </w:r>
      <w:r w:rsidR="00AE78CD" w:rsidRPr="00152F1D">
        <w:rPr>
          <w:rFonts w:ascii="Times New Roman" w:hAnsi="Times New Roman" w:cs="Times New Roman"/>
          <w:i/>
        </w:rPr>
        <w:t xml:space="preserve">Es de crucial importancia que </w:t>
      </w:r>
      <w:r w:rsidR="00B242D0" w:rsidRPr="00152F1D">
        <w:rPr>
          <w:rFonts w:ascii="Times New Roman" w:hAnsi="Times New Roman" w:cs="Times New Roman"/>
          <w:i/>
        </w:rPr>
        <w:t>el Convenio</w:t>
      </w:r>
      <w:r w:rsidR="00AE78CD" w:rsidRPr="00152F1D">
        <w:rPr>
          <w:rFonts w:ascii="Times New Roman" w:hAnsi="Times New Roman" w:cs="Times New Roman"/>
          <w:i/>
        </w:rPr>
        <w:t xml:space="preserve"> sea interpretad</w:t>
      </w:r>
      <w:r w:rsidR="00B242D0" w:rsidRPr="00152F1D">
        <w:rPr>
          <w:rFonts w:ascii="Times New Roman" w:hAnsi="Times New Roman" w:cs="Times New Roman"/>
          <w:i/>
        </w:rPr>
        <w:t>o</w:t>
      </w:r>
      <w:r w:rsidR="00AE78CD" w:rsidRPr="00152F1D">
        <w:rPr>
          <w:rFonts w:ascii="Times New Roman" w:hAnsi="Times New Roman" w:cs="Times New Roman"/>
          <w:i/>
        </w:rPr>
        <w:t xml:space="preserve"> y aplicad</w:t>
      </w:r>
      <w:r w:rsidR="00B242D0" w:rsidRPr="00152F1D">
        <w:rPr>
          <w:rFonts w:ascii="Times New Roman" w:hAnsi="Times New Roman" w:cs="Times New Roman"/>
          <w:i/>
        </w:rPr>
        <w:t>o</w:t>
      </w:r>
      <w:r w:rsidR="00AE78CD" w:rsidRPr="00152F1D">
        <w:rPr>
          <w:rFonts w:ascii="Times New Roman" w:hAnsi="Times New Roman" w:cs="Times New Roman"/>
          <w:i/>
        </w:rPr>
        <w:t xml:space="preserve"> de manera que sus derechos sean prácticos y efectivos, no teóricos e ilusorios. El hecho de que la Corte no mantenga un enfoque dinámico y evolutivo correría el riesgo de convertirlo en un obstáculo para la reforma o la mejora</w:t>
      </w:r>
      <w:r w:rsidR="00B242D0">
        <w:rPr>
          <w:rFonts w:ascii="Times New Roman" w:hAnsi="Times New Roman" w:cs="Times New Roman"/>
        </w:rPr>
        <w:t>”</w:t>
      </w:r>
      <w:r w:rsidR="00AE78CD" w:rsidRPr="00AE78CD">
        <w:rPr>
          <w:rFonts w:ascii="Times New Roman" w:hAnsi="Times New Roman" w:cs="Times New Roman"/>
        </w:rPr>
        <w:t>.</w:t>
      </w:r>
    </w:p>
  </w:footnote>
  <w:footnote w:id="24">
    <w:p w14:paraId="317BE95B" w14:textId="0D1996C0" w:rsidR="007B344A" w:rsidRPr="00AE78CD" w:rsidRDefault="007B344A" w:rsidP="00AE78CD">
      <w:pPr>
        <w:pStyle w:val="Textonotapie"/>
        <w:jc w:val="both"/>
        <w:rPr>
          <w:rFonts w:ascii="Times New Roman" w:hAnsi="Times New Roman" w:cs="Times New Roman"/>
        </w:rPr>
      </w:pPr>
      <w:r w:rsidRPr="00AE78CD">
        <w:rPr>
          <w:rStyle w:val="Refdenotaalpie"/>
          <w:rFonts w:ascii="Times New Roman" w:hAnsi="Times New Roman" w:cs="Times New Roman"/>
        </w:rPr>
        <w:footnoteRef/>
      </w:r>
      <w:r w:rsidRPr="00AE78CD">
        <w:rPr>
          <w:rFonts w:ascii="Times New Roman" w:hAnsi="Times New Roman" w:cs="Times New Roman"/>
        </w:rPr>
        <w:t xml:space="preserve"> El TEDH aludió a que “la insatisfactoria situación de los transexuales operados, que viven entre dos mundos porque no pertenecen realmente a uno u otro sexo, no puede durar más”, </w:t>
      </w:r>
      <w:r w:rsidR="009F0E6C" w:rsidRPr="006D3C51">
        <w:rPr>
          <w:rFonts w:ascii="Times New Roman" w:hAnsi="Times New Roman" w:cs="Times New Roman"/>
          <w:sz w:val="24"/>
          <w:szCs w:val="24"/>
        </w:rPr>
        <w:t>§</w:t>
      </w:r>
      <w:r w:rsidR="009F0E6C">
        <w:rPr>
          <w:rFonts w:ascii="Times New Roman" w:hAnsi="Times New Roman" w:cs="Times New Roman"/>
          <w:sz w:val="24"/>
          <w:szCs w:val="24"/>
        </w:rPr>
        <w:t xml:space="preserve"> </w:t>
      </w:r>
      <w:r w:rsidRPr="00AE78CD">
        <w:rPr>
          <w:rFonts w:ascii="Times New Roman" w:hAnsi="Times New Roman" w:cs="Times New Roman"/>
        </w:rPr>
        <w:t>90.</w:t>
      </w:r>
    </w:p>
  </w:footnote>
  <w:footnote w:id="25">
    <w:p w14:paraId="3255B1E1" w14:textId="658A7AA9" w:rsidR="007B344A" w:rsidRPr="00AE78CD" w:rsidRDefault="007B344A" w:rsidP="00AE78CD">
      <w:pPr>
        <w:pStyle w:val="Textonotapie"/>
        <w:jc w:val="both"/>
        <w:rPr>
          <w:rFonts w:ascii="Times New Roman" w:hAnsi="Times New Roman" w:cs="Times New Roman"/>
        </w:rPr>
      </w:pPr>
      <w:r w:rsidRPr="00AE78CD">
        <w:rPr>
          <w:rStyle w:val="Refdenotaalpie"/>
          <w:rFonts w:ascii="Times New Roman" w:hAnsi="Times New Roman" w:cs="Times New Roman"/>
        </w:rPr>
        <w:footnoteRef/>
      </w:r>
      <w:r w:rsidRPr="00AE78CD">
        <w:rPr>
          <w:rFonts w:ascii="Times New Roman" w:hAnsi="Times New Roman" w:cs="Times New Roman"/>
        </w:rPr>
        <w:t xml:space="preserve"> Posteriormente, en los apartados 97-104, el TEDH analiza también la violación del derecho al matrimonio </w:t>
      </w:r>
      <w:r w:rsidRPr="00AE78CD">
        <w:rPr>
          <w:rFonts w:ascii="Times New Roman" w:hAnsi="Times New Roman" w:cs="Times New Roman"/>
          <w:i/>
        </w:rPr>
        <w:t>ex</w:t>
      </w:r>
      <w:r w:rsidRPr="00AE78CD">
        <w:rPr>
          <w:rFonts w:ascii="Times New Roman" w:hAnsi="Times New Roman" w:cs="Times New Roman"/>
        </w:rPr>
        <w:t xml:space="preserve"> art. 12 CEDH. En este ámbito también el Tribunal cumple un avance fundamental, afirmando que no se encuentra razón alguna que justifique que los transexuales se vean privados en cualquier circunstancia del derecho al matrimonio, concluyendo que el Reino Unido infringió también el artículo 12 CEDH. No hubo, sin embargo, violación de los arts. 13 y 14 CEDH. </w:t>
      </w:r>
    </w:p>
  </w:footnote>
  <w:footnote w:id="26">
    <w:p w14:paraId="452B0FE1" w14:textId="28D0ED41" w:rsidR="007B344A" w:rsidRPr="00AE78CD" w:rsidRDefault="007B344A" w:rsidP="00AE78CD">
      <w:pPr>
        <w:pStyle w:val="Textonotapie"/>
        <w:jc w:val="both"/>
        <w:rPr>
          <w:rFonts w:ascii="Times New Roman" w:hAnsi="Times New Roman" w:cs="Times New Roman"/>
        </w:rPr>
      </w:pPr>
      <w:r w:rsidRPr="00AE78CD">
        <w:rPr>
          <w:rStyle w:val="Refdenotaalpie"/>
          <w:rFonts w:ascii="Times New Roman" w:hAnsi="Times New Roman" w:cs="Times New Roman"/>
        </w:rPr>
        <w:footnoteRef/>
      </w:r>
      <w:r w:rsidRPr="00AE78CD">
        <w:rPr>
          <w:rFonts w:ascii="Times New Roman" w:hAnsi="Times New Roman" w:cs="Times New Roman"/>
        </w:rPr>
        <w:t xml:space="preserve"> En la sentencia sobre el asunto </w:t>
      </w:r>
      <w:r w:rsidRPr="00781D53">
        <w:rPr>
          <w:rFonts w:ascii="Times New Roman" w:hAnsi="Times New Roman" w:cs="Times New Roman"/>
          <w:i/>
          <w:iCs/>
        </w:rPr>
        <w:t>Grant c. Reino Unido</w:t>
      </w:r>
      <w:r w:rsidRPr="00781D53">
        <w:rPr>
          <w:rFonts w:ascii="Times New Roman" w:hAnsi="Times New Roman" w:cs="Times New Roman"/>
        </w:rPr>
        <w:t>,</w:t>
      </w:r>
      <w:r w:rsidRPr="00AE78CD">
        <w:rPr>
          <w:rFonts w:ascii="Times New Roman" w:hAnsi="Times New Roman" w:cs="Times New Roman"/>
          <w:b/>
        </w:rPr>
        <w:t xml:space="preserve">  </w:t>
      </w:r>
      <w:r w:rsidRPr="00AE78CD">
        <w:rPr>
          <w:rFonts w:ascii="Times New Roman" w:hAnsi="Times New Roman" w:cs="Times New Roman"/>
        </w:rPr>
        <w:t>de 23 de mayo de 2006 (</w:t>
      </w:r>
      <w:hyperlink r:id="rId16" w:anchor="{%22tabview%22:[%22document%22],%22itemid%22:[%22001-75454%22]}" w:history="1">
        <w:r w:rsidRPr="00AE78CD">
          <w:rPr>
            <w:rStyle w:val="Hipervnculo"/>
            <w:rFonts w:ascii="Times New Roman" w:hAnsi="Times New Roman" w:cs="Times New Roman"/>
          </w:rPr>
          <w:t>https://hudoc.echr.coe.int/eng#{%22tabview%22:[%22document%22],%22itemid%22:[%22001-75454%22]}</w:t>
        </w:r>
      </w:hyperlink>
      <w:r w:rsidRPr="00AE78CD">
        <w:rPr>
          <w:rFonts w:ascii="Times New Roman" w:hAnsi="Times New Roman" w:cs="Times New Roman"/>
        </w:rPr>
        <w:t xml:space="preserve">), el Tribunal aplicó la doctrina sentada en el caso Christine Goodwin de 2002, al constatar que la Sra. Grant se encontraba en una situación idéntica a la de la Sra. Goodwin. </w:t>
      </w:r>
    </w:p>
  </w:footnote>
  <w:footnote w:id="27">
    <w:p w14:paraId="42F663C0" w14:textId="206EEE39" w:rsidR="007B344A" w:rsidRPr="00AE78CD" w:rsidRDefault="007B344A" w:rsidP="00AE78CD">
      <w:pPr>
        <w:pStyle w:val="Textonotapie"/>
        <w:jc w:val="both"/>
        <w:rPr>
          <w:rFonts w:ascii="Times New Roman" w:hAnsi="Times New Roman" w:cs="Times New Roman"/>
          <w:iCs/>
        </w:rPr>
      </w:pPr>
      <w:r w:rsidRPr="00AE78CD">
        <w:rPr>
          <w:rStyle w:val="Refdenotaalpie"/>
          <w:rFonts w:ascii="Times New Roman" w:hAnsi="Times New Roman" w:cs="Times New Roman"/>
        </w:rPr>
        <w:footnoteRef/>
      </w:r>
      <w:r w:rsidRPr="00AE78CD">
        <w:rPr>
          <w:rFonts w:ascii="Times New Roman" w:hAnsi="Times New Roman" w:cs="Times New Roman"/>
        </w:rPr>
        <w:t xml:space="preserve"> </w:t>
      </w:r>
      <w:hyperlink r:id="rId17" w:anchor="{%22fulltext%22:[%22\%22AFFAIRE%20VAN%20KUCK%20c.%20ALLEMAGNE\%22%22],%22documentcollectionid2%22:[%22GRANDCHAMBER%22,%22CHAMBER%22],%22itemid%22:[%22001-65699%22]}" w:history="1">
        <w:r w:rsidRPr="00AE78CD">
          <w:rPr>
            <w:rStyle w:val="Hipervnculo"/>
            <w:rFonts w:ascii="Times New Roman" w:hAnsi="Times New Roman" w:cs="Times New Roman"/>
            <w:iCs/>
          </w:rPr>
          <w:t>https://hudoc.echr.coe.int/eng#{%22fulltext%22:[%22\%22AFFAIRE%20VAN%20KUCK%20c.%20ALLEMAGNE\%22%22],%22documentcollectionid2%22:[%22GRANDCHAMBER%22,%22CHAMBER%22],%22itemid%22:[%22001-65699%22]}</w:t>
        </w:r>
      </w:hyperlink>
      <w:r w:rsidRPr="00AE78CD">
        <w:rPr>
          <w:rFonts w:ascii="Times New Roman" w:hAnsi="Times New Roman" w:cs="Times New Roman"/>
          <w:iCs/>
        </w:rPr>
        <w:t xml:space="preserve">. </w:t>
      </w:r>
    </w:p>
  </w:footnote>
  <w:footnote w:id="28">
    <w:p w14:paraId="1385F096" w14:textId="3D758A0A" w:rsidR="007B344A" w:rsidRPr="00AE78CD" w:rsidRDefault="007B344A" w:rsidP="00AE78CD">
      <w:pPr>
        <w:pStyle w:val="Textonotapie"/>
        <w:jc w:val="both"/>
        <w:rPr>
          <w:rFonts w:ascii="Times New Roman" w:hAnsi="Times New Roman" w:cs="Times New Roman"/>
        </w:rPr>
      </w:pPr>
      <w:r w:rsidRPr="00AE78CD">
        <w:rPr>
          <w:rStyle w:val="Refdenotaalpie"/>
          <w:rFonts w:ascii="Times New Roman" w:hAnsi="Times New Roman" w:cs="Times New Roman"/>
        </w:rPr>
        <w:footnoteRef/>
      </w:r>
      <w:r w:rsidRPr="00AE78CD">
        <w:rPr>
          <w:rFonts w:ascii="Times New Roman" w:hAnsi="Times New Roman" w:cs="Times New Roman"/>
        </w:rPr>
        <w:t xml:space="preserve"> Sobre esa capacidad expansiva del art. 8 CEDH, véase Á. J. GÓMEZ MONTORO, «Vida privada y autonomía personal o una interpretación “</w:t>
      </w:r>
      <w:proofErr w:type="spellStart"/>
      <w:r w:rsidRPr="00AE78CD">
        <w:rPr>
          <w:rFonts w:ascii="Times New Roman" w:hAnsi="Times New Roman" w:cs="Times New Roman"/>
        </w:rPr>
        <w:t>passe-partout</w:t>
      </w:r>
      <w:proofErr w:type="spellEnd"/>
      <w:r w:rsidRPr="00AE78CD">
        <w:rPr>
          <w:rFonts w:ascii="Times New Roman" w:hAnsi="Times New Roman" w:cs="Times New Roman"/>
        </w:rPr>
        <w:t xml:space="preserve">” del artículo 8 CEDH», en F. Rubio Llorente, J. Jiménez Campo, J. J. Solozábal Echavarría, M. Paloma </w:t>
      </w:r>
      <w:proofErr w:type="spellStart"/>
      <w:r w:rsidRPr="00AE78CD">
        <w:rPr>
          <w:rFonts w:ascii="Times New Roman" w:hAnsi="Times New Roman" w:cs="Times New Roman"/>
        </w:rPr>
        <w:t>Biglino</w:t>
      </w:r>
      <w:proofErr w:type="spellEnd"/>
      <w:r w:rsidRPr="00AE78CD">
        <w:rPr>
          <w:rFonts w:ascii="Times New Roman" w:hAnsi="Times New Roman" w:cs="Times New Roman"/>
        </w:rPr>
        <w:t xml:space="preserve"> Campos y Á. J. Gómez Montoro (</w:t>
      </w:r>
      <w:proofErr w:type="spellStart"/>
      <w:r w:rsidRPr="00AE78CD">
        <w:rPr>
          <w:rFonts w:ascii="Times New Roman" w:hAnsi="Times New Roman" w:cs="Times New Roman"/>
        </w:rPr>
        <w:t>coords</w:t>
      </w:r>
      <w:proofErr w:type="spellEnd"/>
      <w:r w:rsidRPr="00AE78CD">
        <w:rPr>
          <w:rFonts w:ascii="Times New Roman" w:hAnsi="Times New Roman" w:cs="Times New Roman"/>
        </w:rPr>
        <w:t xml:space="preserve">.), </w:t>
      </w:r>
      <w:r w:rsidRPr="00AE78CD">
        <w:rPr>
          <w:rFonts w:ascii="Times New Roman" w:hAnsi="Times New Roman" w:cs="Times New Roman"/>
          <w:i/>
        </w:rPr>
        <w:t>La constitución política de España: estudios en homenaje a Manuel Aragón Reyes</w:t>
      </w:r>
      <w:r w:rsidRPr="00AE78CD">
        <w:rPr>
          <w:rFonts w:ascii="Times New Roman" w:hAnsi="Times New Roman" w:cs="Times New Roman"/>
        </w:rPr>
        <w:t>, CEPC, Madrid, 2016, pp. 617-650.</w:t>
      </w:r>
    </w:p>
  </w:footnote>
  <w:footnote w:id="29">
    <w:p w14:paraId="095348A9" w14:textId="4C24407E" w:rsidR="007B344A" w:rsidRPr="00AE78CD" w:rsidRDefault="007B344A" w:rsidP="00AE78CD">
      <w:pPr>
        <w:pStyle w:val="Textonotapie"/>
        <w:jc w:val="both"/>
        <w:rPr>
          <w:rFonts w:ascii="Times New Roman" w:hAnsi="Times New Roman" w:cs="Times New Roman"/>
        </w:rPr>
      </w:pPr>
      <w:r w:rsidRPr="00AE78CD">
        <w:rPr>
          <w:rStyle w:val="Refdenotaalpie"/>
          <w:rFonts w:ascii="Times New Roman" w:hAnsi="Times New Roman" w:cs="Times New Roman"/>
        </w:rPr>
        <w:footnoteRef/>
      </w:r>
      <w:r w:rsidRPr="00AE78CD">
        <w:rPr>
          <w:rFonts w:ascii="Times New Roman" w:hAnsi="Times New Roman" w:cs="Times New Roman"/>
        </w:rPr>
        <w:t xml:space="preserve"> </w:t>
      </w:r>
      <w:hyperlink r:id="rId18" w:anchor="{%22tabview%22:[%22document%22],%22itemid%22:[%22001-78666%22]}" w:history="1">
        <w:r w:rsidRPr="00AE78CD">
          <w:rPr>
            <w:rStyle w:val="Hipervnculo"/>
            <w:rFonts w:ascii="Times New Roman" w:hAnsi="Times New Roman" w:cs="Times New Roman"/>
          </w:rPr>
          <w:t>https://hudoc.echr.coe.int/eng#{%22tabview%22:[%22document%22],%22itemid%22:[%22001-78666%22]}</w:t>
        </w:r>
      </w:hyperlink>
      <w:r w:rsidRPr="00AE78CD">
        <w:rPr>
          <w:rFonts w:ascii="Times New Roman" w:hAnsi="Times New Roman" w:cs="Times New Roman"/>
        </w:rPr>
        <w:t xml:space="preserve">. </w:t>
      </w:r>
    </w:p>
  </w:footnote>
  <w:footnote w:id="30">
    <w:p w14:paraId="3318ECE4" w14:textId="34F661AA" w:rsidR="007B344A" w:rsidRPr="00AE78CD" w:rsidRDefault="007B344A" w:rsidP="00AE78CD">
      <w:pPr>
        <w:pStyle w:val="Textonotapie"/>
        <w:jc w:val="both"/>
        <w:rPr>
          <w:rFonts w:ascii="Times New Roman" w:hAnsi="Times New Roman" w:cs="Times New Roman"/>
        </w:rPr>
      </w:pPr>
      <w:r w:rsidRPr="00AE78CD">
        <w:rPr>
          <w:rStyle w:val="Refdenotaalpie"/>
          <w:rFonts w:ascii="Times New Roman" w:hAnsi="Times New Roman" w:cs="Times New Roman"/>
        </w:rPr>
        <w:footnoteRef/>
      </w:r>
      <w:r w:rsidRPr="00AE78CD">
        <w:rPr>
          <w:rFonts w:ascii="Times New Roman" w:hAnsi="Times New Roman" w:cs="Times New Roman"/>
        </w:rPr>
        <w:t xml:space="preserve"> </w:t>
      </w:r>
      <w:hyperlink r:id="rId19" w:anchor="{%22tabview%22:[%22document%22],%22itemid%22:[%22001-78450%22]}" w:history="1">
        <w:r w:rsidRPr="00AE78CD">
          <w:rPr>
            <w:rStyle w:val="Hipervnculo"/>
            <w:rFonts w:ascii="Times New Roman" w:hAnsi="Times New Roman" w:cs="Times New Roman"/>
          </w:rPr>
          <w:t>https://hudoc.echr.coe.int/eng#{%22tabview%22:[%22document%22],%22itemid%22:[%22001-78450%22]}</w:t>
        </w:r>
      </w:hyperlink>
      <w:r w:rsidRPr="00AE78CD">
        <w:rPr>
          <w:rFonts w:ascii="Times New Roman" w:hAnsi="Times New Roman" w:cs="Times New Roman"/>
        </w:rPr>
        <w:t xml:space="preserve">. </w:t>
      </w:r>
    </w:p>
  </w:footnote>
  <w:footnote w:id="31">
    <w:p w14:paraId="0B463704" w14:textId="014ECA2B" w:rsidR="007B344A" w:rsidRPr="00AE78CD" w:rsidRDefault="007B344A" w:rsidP="00AE78CD">
      <w:pPr>
        <w:pStyle w:val="Textonotapie"/>
        <w:jc w:val="both"/>
        <w:rPr>
          <w:rFonts w:ascii="Times New Roman" w:hAnsi="Times New Roman" w:cs="Times New Roman"/>
        </w:rPr>
      </w:pPr>
      <w:r w:rsidRPr="00AE78CD">
        <w:rPr>
          <w:rStyle w:val="Refdenotaalpie"/>
          <w:rFonts w:ascii="Times New Roman" w:hAnsi="Times New Roman" w:cs="Times New Roman"/>
        </w:rPr>
        <w:footnoteRef/>
      </w:r>
      <w:r w:rsidRPr="00AE78CD">
        <w:rPr>
          <w:rFonts w:ascii="Times New Roman" w:hAnsi="Times New Roman" w:cs="Times New Roman"/>
          <w:lang w:val="en-US"/>
        </w:rPr>
        <w:t xml:space="preserve"> Vid. A. LORENZETTI, «</w:t>
      </w:r>
      <w:r w:rsidRPr="00AE78CD">
        <w:rPr>
          <w:rFonts w:ascii="Times New Roman" w:hAnsi="Times New Roman" w:cs="Times New Roman"/>
          <w:lang w:val="en-GB"/>
        </w:rPr>
        <w:t xml:space="preserve">The European Courts and Transsexuals. </w:t>
      </w:r>
      <w:proofErr w:type="spellStart"/>
      <w:r w:rsidRPr="00AE78CD">
        <w:rPr>
          <w:rFonts w:ascii="Times New Roman" w:hAnsi="Times New Roman" w:cs="Times New Roman"/>
        </w:rPr>
        <w:t>The</w:t>
      </w:r>
      <w:proofErr w:type="spellEnd"/>
      <w:r w:rsidRPr="00AE78CD">
        <w:rPr>
          <w:rFonts w:ascii="Times New Roman" w:hAnsi="Times New Roman" w:cs="Times New Roman"/>
        </w:rPr>
        <w:t xml:space="preserve"> </w:t>
      </w:r>
      <w:proofErr w:type="spellStart"/>
      <w:r w:rsidRPr="00AE78CD">
        <w:rPr>
          <w:rFonts w:ascii="Times New Roman" w:hAnsi="Times New Roman" w:cs="Times New Roman"/>
        </w:rPr>
        <w:t>Binary</w:t>
      </w:r>
      <w:proofErr w:type="spellEnd"/>
      <w:r w:rsidRPr="00AE78CD">
        <w:rPr>
          <w:rFonts w:ascii="Times New Roman" w:hAnsi="Times New Roman" w:cs="Times New Roman"/>
        </w:rPr>
        <w:t xml:space="preserve"> </w:t>
      </w:r>
      <w:proofErr w:type="spellStart"/>
      <w:r w:rsidRPr="00AE78CD">
        <w:rPr>
          <w:rFonts w:ascii="Times New Roman" w:hAnsi="Times New Roman" w:cs="Times New Roman"/>
        </w:rPr>
        <w:t>Distinction</w:t>
      </w:r>
      <w:proofErr w:type="spellEnd"/>
      <w:r w:rsidRPr="00AE78CD">
        <w:rPr>
          <w:rFonts w:ascii="Times New Roman" w:hAnsi="Times New Roman" w:cs="Times New Roman"/>
        </w:rPr>
        <w:t xml:space="preserve"> and </w:t>
      </w:r>
      <w:proofErr w:type="spellStart"/>
      <w:r w:rsidRPr="00AE78CD">
        <w:rPr>
          <w:rFonts w:ascii="Times New Roman" w:hAnsi="Times New Roman" w:cs="Times New Roman"/>
        </w:rPr>
        <w:t>the</w:t>
      </w:r>
      <w:proofErr w:type="spellEnd"/>
      <w:r w:rsidRPr="00AE78CD">
        <w:rPr>
          <w:rFonts w:ascii="Times New Roman" w:hAnsi="Times New Roman" w:cs="Times New Roman"/>
        </w:rPr>
        <w:t xml:space="preserve"> </w:t>
      </w:r>
      <w:proofErr w:type="spellStart"/>
      <w:r w:rsidRPr="00AE78CD">
        <w:rPr>
          <w:rFonts w:ascii="Times New Roman" w:hAnsi="Times New Roman" w:cs="Times New Roman"/>
        </w:rPr>
        <w:t>Pattern</w:t>
      </w:r>
      <w:proofErr w:type="spellEnd"/>
      <w:r w:rsidRPr="00AE78CD">
        <w:rPr>
          <w:rFonts w:ascii="Times New Roman" w:hAnsi="Times New Roman" w:cs="Times New Roman"/>
        </w:rPr>
        <w:t xml:space="preserve"> </w:t>
      </w:r>
      <w:proofErr w:type="spellStart"/>
      <w:r w:rsidRPr="00AE78CD">
        <w:rPr>
          <w:rFonts w:ascii="Times New Roman" w:hAnsi="Times New Roman" w:cs="Times New Roman"/>
        </w:rPr>
        <w:t>of</w:t>
      </w:r>
      <w:proofErr w:type="spellEnd"/>
      <w:r w:rsidRPr="00AE78CD">
        <w:rPr>
          <w:rFonts w:ascii="Times New Roman" w:hAnsi="Times New Roman" w:cs="Times New Roman"/>
        </w:rPr>
        <w:t xml:space="preserve"> </w:t>
      </w:r>
      <w:proofErr w:type="spellStart"/>
      <w:r w:rsidRPr="00AE78CD">
        <w:rPr>
          <w:rFonts w:ascii="Times New Roman" w:hAnsi="Times New Roman" w:cs="Times New Roman"/>
        </w:rPr>
        <w:t>Family</w:t>
      </w:r>
      <w:proofErr w:type="spellEnd"/>
      <w:r w:rsidRPr="00AE78CD">
        <w:rPr>
          <w:rFonts w:ascii="Times New Roman" w:hAnsi="Times New Roman" w:cs="Times New Roman"/>
        </w:rPr>
        <w:t xml:space="preserve">», 2016, p. 6 (disponible en </w:t>
      </w:r>
      <w:hyperlink r:id="rId20" w:history="1">
        <w:r w:rsidRPr="00AE78CD">
          <w:rPr>
            <w:rStyle w:val="Hipervnculo"/>
            <w:rFonts w:ascii="Times New Roman" w:hAnsi="Times New Roman" w:cs="Times New Roman"/>
          </w:rPr>
          <w:t>https://aisberg.unibg.it/retrieve/handle/10446/86784/157301/barcellona_bdh_clean.pdf</w:t>
        </w:r>
      </w:hyperlink>
      <w:r w:rsidRPr="00AE78CD">
        <w:rPr>
          <w:rFonts w:ascii="Times New Roman" w:hAnsi="Times New Roman" w:cs="Times New Roman"/>
        </w:rPr>
        <w:t xml:space="preserve">), utiliza la expresión según la cual la unión civil sociedad civil “garantizaba «casi todos» los derechos y obligaciones” que el matrimonio. </w:t>
      </w:r>
    </w:p>
  </w:footnote>
  <w:footnote w:id="32">
    <w:p w14:paraId="26431119" w14:textId="1C1BB2D1" w:rsidR="007B344A" w:rsidRPr="00AE78CD" w:rsidRDefault="007B344A" w:rsidP="00AE78CD">
      <w:pPr>
        <w:pStyle w:val="Textonotapie"/>
        <w:jc w:val="both"/>
        <w:rPr>
          <w:rFonts w:ascii="Times New Roman" w:hAnsi="Times New Roman" w:cs="Times New Roman"/>
        </w:rPr>
      </w:pPr>
      <w:r w:rsidRPr="00AE78CD">
        <w:rPr>
          <w:rStyle w:val="Refdenotaalpie"/>
          <w:rFonts w:ascii="Times New Roman" w:hAnsi="Times New Roman" w:cs="Times New Roman"/>
        </w:rPr>
        <w:footnoteRef/>
      </w:r>
      <w:r w:rsidRPr="00AE78CD">
        <w:rPr>
          <w:rFonts w:ascii="Times New Roman" w:hAnsi="Times New Roman" w:cs="Times New Roman"/>
        </w:rPr>
        <w:t xml:space="preserve"> </w:t>
      </w:r>
      <w:hyperlink r:id="rId21" w:anchor="{%22itemid%22:[%22001-82243%22]}" w:history="1">
        <w:r w:rsidRPr="00AE78CD">
          <w:rPr>
            <w:rStyle w:val="Hipervnculo"/>
            <w:rFonts w:ascii="Times New Roman" w:hAnsi="Times New Roman" w:cs="Times New Roman"/>
          </w:rPr>
          <w:t>https://hudoc.echr.coe.int/eng#{%22itemid%22:[%22001-82243%22]}</w:t>
        </w:r>
      </w:hyperlink>
      <w:r w:rsidRPr="00AE78CD">
        <w:rPr>
          <w:rFonts w:ascii="Times New Roman" w:hAnsi="Times New Roman" w:cs="Times New Roman"/>
        </w:rPr>
        <w:t xml:space="preserve">. </w:t>
      </w:r>
    </w:p>
  </w:footnote>
  <w:footnote w:id="33">
    <w:p w14:paraId="02A44409" w14:textId="3FEE60C8" w:rsidR="007B344A" w:rsidRPr="00AE78CD" w:rsidRDefault="007B344A" w:rsidP="00AE78CD">
      <w:pPr>
        <w:pStyle w:val="Textonotapie"/>
        <w:jc w:val="both"/>
        <w:rPr>
          <w:rFonts w:ascii="Times New Roman" w:hAnsi="Times New Roman" w:cs="Times New Roman"/>
        </w:rPr>
      </w:pPr>
      <w:r w:rsidRPr="00AE78CD">
        <w:rPr>
          <w:rStyle w:val="Refdenotaalpie"/>
          <w:rFonts w:ascii="Times New Roman" w:hAnsi="Times New Roman" w:cs="Times New Roman"/>
        </w:rPr>
        <w:footnoteRef/>
      </w:r>
      <w:r w:rsidRPr="00AE78CD">
        <w:rPr>
          <w:rFonts w:ascii="Times New Roman" w:hAnsi="Times New Roman" w:cs="Times New Roman"/>
        </w:rPr>
        <w:t xml:space="preserve"> Posteriormente, en 2009, el TEDH tuvo que resolver otro caso relativo a la negativa de las aseguradoras de salud para el pago de los gastos de su operación de cambio de sexo, que el Tribunal resolvió a favor del sujeto demandante aplicando la doctrina sentada en 2002, 2003, 2007 e incluso citando la decisión </w:t>
      </w:r>
      <w:r w:rsidRPr="00AE78CD">
        <w:rPr>
          <w:rFonts w:ascii="Times New Roman" w:hAnsi="Times New Roman" w:cs="Times New Roman"/>
          <w:i/>
        </w:rPr>
        <w:t>B. c. Francia</w:t>
      </w:r>
      <w:r w:rsidRPr="00AE78CD">
        <w:rPr>
          <w:rFonts w:ascii="Times New Roman" w:hAnsi="Times New Roman" w:cs="Times New Roman"/>
        </w:rPr>
        <w:t xml:space="preserve"> de 1992; se trata del caso </w:t>
      </w:r>
      <w:proofErr w:type="spellStart"/>
      <w:r w:rsidRPr="00AE78CD">
        <w:rPr>
          <w:rFonts w:ascii="Times New Roman" w:hAnsi="Times New Roman" w:cs="Times New Roman"/>
          <w:b/>
          <w:i/>
          <w:iCs/>
        </w:rPr>
        <w:t>Schlumpf</w:t>
      </w:r>
      <w:proofErr w:type="spellEnd"/>
      <w:r w:rsidRPr="00AE78CD">
        <w:rPr>
          <w:rFonts w:ascii="Times New Roman" w:hAnsi="Times New Roman" w:cs="Times New Roman"/>
          <w:b/>
          <w:i/>
          <w:iCs/>
        </w:rPr>
        <w:t> v. Suiza</w:t>
      </w:r>
      <w:r w:rsidRPr="00AE78CD">
        <w:rPr>
          <w:rFonts w:ascii="Times New Roman" w:hAnsi="Times New Roman" w:cs="Times New Roman"/>
          <w:iCs/>
        </w:rPr>
        <w:t>, de</w:t>
      </w:r>
      <w:r w:rsidRPr="00AE78CD">
        <w:rPr>
          <w:rFonts w:ascii="Times New Roman" w:hAnsi="Times New Roman" w:cs="Times New Roman"/>
        </w:rPr>
        <w:t xml:space="preserve"> 9 de enero de 2009, </w:t>
      </w:r>
      <w:hyperlink r:id="rId22" w:anchor="{%22itemid%22:[%22001-90476%22]}" w:history="1">
        <w:r w:rsidRPr="00AE78CD">
          <w:rPr>
            <w:rStyle w:val="Hipervnculo"/>
            <w:rFonts w:ascii="Times New Roman" w:hAnsi="Times New Roman" w:cs="Times New Roman"/>
          </w:rPr>
          <w:t>https://hudoc.echr.coe.int/fre#{%22itemid%22:[%22001-90476%22]}</w:t>
        </w:r>
      </w:hyperlink>
      <w:r w:rsidRPr="00AE78CD">
        <w:rPr>
          <w:rFonts w:ascii="Times New Roman" w:hAnsi="Times New Roman" w:cs="Times New Roman"/>
        </w:rPr>
        <w:t>.</w:t>
      </w:r>
      <w:r w:rsidRPr="00AE78CD">
        <w:rPr>
          <w:rFonts w:ascii="Times New Roman" w:hAnsi="Times New Roman" w:cs="Times New Roman"/>
          <w:b/>
        </w:rPr>
        <w:t xml:space="preserve"> </w:t>
      </w:r>
      <w:r w:rsidRPr="00AE78CD">
        <w:rPr>
          <w:rFonts w:ascii="Times New Roman" w:hAnsi="Times New Roman" w:cs="Times New Roman"/>
        </w:rPr>
        <w:t xml:space="preserve">El Tribunal afirmó que el Estado tenía un “limitado” margen de apreciación (115), tratándose de un asunto relacionado con uno de los aspectos más íntimos de la vida privada, cumpliendo un paso más en la dirección del acotamiento del margen de apreciación nacional en aras de una más efectiva protección de los derechos de los transexuales. </w:t>
      </w:r>
    </w:p>
    <w:p w14:paraId="3703B80A" w14:textId="58DBE3DC" w:rsidR="007B344A" w:rsidRPr="00AE78CD" w:rsidRDefault="007B344A" w:rsidP="00AE78CD">
      <w:pPr>
        <w:pStyle w:val="Textonotapie"/>
        <w:jc w:val="both"/>
        <w:rPr>
          <w:rFonts w:ascii="Times New Roman" w:hAnsi="Times New Roman" w:cs="Times New Roman"/>
          <w:bCs/>
          <w:iCs/>
          <w:lang w:val="es-ES_tradnl"/>
        </w:rPr>
      </w:pPr>
      <w:r w:rsidRPr="00AE78CD">
        <w:rPr>
          <w:rFonts w:ascii="Times New Roman" w:hAnsi="Times New Roman" w:cs="Times New Roman"/>
        </w:rPr>
        <w:t xml:space="preserve">Dos años más tarde, el </w:t>
      </w:r>
      <w:r w:rsidRPr="00AE78CD">
        <w:rPr>
          <w:rFonts w:ascii="Times New Roman" w:hAnsi="Times New Roman" w:cs="Times New Roman"/>
          <w:bCs/>
        </w:rPr>
        <w:t xml:space="preserve">6 de septiembre de 2011, el TEDH archivó la demanda sobre el asunto </w:t>
      </w:r>
      <w:r w:rsidRPr="00AE78CD">
        <w:rPr>
          <w:rFonts w:ascii="Times New Roman" w:hAnsi="Times New Roman" w:cs="Times New Roman"/>
          <w:b/>
          <w:bCs/>
          <w:i/>
          <w:iCs/>
        </w:rPr>
        <w:t>P. v. Portugal</w:t>
      </w:r>
      <w:r w:rsidRPr="00AE78CD">
        <w:rPr>
          <w:rFonts w:ascii="Times New Roman" w:hAnsi="Times New Roman" w:cs="Times New Roman"/>
          <w:bCs/>
          <w:iCs/>
        </w:rPr>
        <w:t>, pues</w:t>
      </w:r>
      <w:r w:rsidRPr="00AE78CD">
        <w:rPr>
          <w:rFonts w:ascii="Times New Roman" w:hAnsi="Times New Roman" w:cs="Times New Roman"/>
          <w:bCs/>
          <w:iCs/>
          <w:lang w:val="es-ES_tradnl"/>
        </w:rPr>
        <w:t xml:space="preserve"> los hechos que dieron lugar al recurso ya no persistían y se habían eliminado las consecuencias que pudieran derivarse de una posible violación del Convenio, </w:t>
      </w:r>
      <w:hyperlink r:id="rId23" w:anchor="{%22languageisocode%22:[%22FRE%22],%22appno%22:[%2256027/09%22],%22documentcollectionid2%22:[%22ADMISSIBILITY%22],%22itemid%22:[%22001-106402%22]}" w:history="1">
        <w:r w:rsidRPr="00AE78CD">
          <w:rPr>
            <w:rStyle w:val="Hipervnculo"/>
            <w:rFonts w:ascii="Times New Roman" w:hAnsi="Times New Roman" w:cs="Times New Roman"/>
            <w:bCs/>
            <w:iCs/>
            <w:lang w:val="es-ES_tradnl"/>
          </w:rPr>
          <w:t>https://hudoc.echr.coe.int/eng/#{%22languageisocode%22:[%22FRE%22],%22appno%22:[%2256027/09%22],%22documentcollectionid2%22:[%22ADMISSIBILITY%22],%22itemid%22:[%22001-106402%22]}</w:t>
        </w:r>
      </w:hyperlink>
      <w:r w:rsidRPr="00AE78CD">
        <w:rPr>
          <w:rFonts w:ascii="Times New Roman" w:hAnsi="Times New Roman" w:cs="Times New Roman"/>
          <w:bCs/>
          <w:iCs/>
          <w:lang w:val="es-ES_tradnl"/>
        </w:rPr>
        <w:t xml:space="preserve">. </w:t>
      </w:r>
    </w:p>
  </w:footnote>
  <w:footnote w:id="34">
    <w:p w14:paraId="07697AB0" w14:textId="626D4B48" w:rsidR="007B344A" w:rsidRDefault="007B344A" w:rsidP="00AE78CD">
      <w:pPr>
        <w:pStyle w:val="Textonotapie"/>
        <w:jc w:val="both"/>
        <w:rPr>
          <w:rFonts w:ascii="Times New Roman" w:hAnsi="Times New Roman" w:cs="Times New Roman"/>
          <w:bCs/>
        </w:rPr>
      </w:pPr>
      <w:r w:rsidRPr="00AE78CD">
        <w:rPr>
          <w:rStyle w:val="Refdenotaalpie"/>
          <w:rFonts w:ascii="Times New Roman" w:hAnsi="Times New Roman" w:cs="Times New Roman"/>
        </w:rPr>
        <w:footnoteRef/>
      </w:r>
      <w:r w:rsidRPr="00AE78CD">
        <w:rPr>
          <w:rFonts w:ascii="Times New Roman" w:hAnsi="Times New Roman" w:cs="Times New Roman"/>
        </w:rPr>
        <w:t xml:space="preserve"> </w:t>
      </w:r>
      <w:hyperlink r:id="rId24" w:anchor="{%22itemid%22:[%22001-145768%22]}" w:history="1">
        <w:r w:rsidRPr="00AE78CD">
          <w:rPr>
            <w:rStyle w:val="Hipervnculo"/>
            <w:rFonts w:ascii="Times New Roman" w:hAnsi="Times New Roman" w:cs="Times New Roman"/>
            <w:bCs/>
          </w:rPr>
          <w:t>https://hudoc.echr.coe.int/eng#{%22itemid%22:[%22001-145768%22]}</w:t>
        </w:r>
      </w:hyperlink>
      <w:r w:rsidRPr="00AE78CD">
        <w:rPr>
          <w:rFonts w:ascii="Times New Roman" w:hAnsi="Times New Roman" w:cs="Times New Roman"/>
          <w:bCs/>
        </w:rPr>
        <w:t>.</w:t>
      </w:r>
    </w:p>
    <w:p w14:paraId="15EE0072" w14:textId="3E7C445D" w:rsidR="00546374" w:rsidRPr="00AE78CD" w:rsidRDefault="00546374" w:rsidP="00AE78CD">
      <w:pPr>
        <w:pStyle w:val="Textonotapie"/>
        <w:jc w:val="both"/>
        <w:rPr>
          <w:rFonts w:ascii="Times New Roman" w:hAnsi="Times New Roman" w:cs="Times New Roman"/>
          <w:bCs/>
        </w:rPr>
      </w:pPr>
      <w:r>
        <w:rPr>
          <w:rFonts w:ascii="Times New Roman" w:hAnsi="Times New Roman" w:cs="Times New Roman"/>
          <w:bCs/>
        </w:rPr>
        <w:t xml:space="preserve">Critican la decisión del TEDH </w:t>
      </w:r>
      <w:r w:rsidR="00FE59BA" w:rsidRPr="00FE59BA">
        <w:rPr>
          <w:rFonts w:ascii="Times New Roman" w:hAnsi="Times New Roman" w:cs="Times New Roman"/>
          <w:bCs/>
        </w:rPr>
        <w:t>M</w:t>
      </w:r>
      <w:r w:rsidR="00FE59BA">
        <w:rPr>
          <w:rFonts w:ascii="Times New Roman" w:hAnsi="Times New Roman" w:cs="Times New Roman"/>
          <w:bCs/>
        </w:rPr>
        <w:t>.</w:t>
      </w:r>
      <w:r w:rsidR="00FE59BA" w:rsidRPr="00FE59BA">
        <w:rPr>
          <w:rFonts w:ascii="Times New Roman" w:hAnsi="Times New Roman" w:cs="Times New Roman"/>
          <w:bCs/>
        </w:rPr>
        <w:t xml:space="preserve"> ALDAO Y L</w:t>
      </w:r>
      <w:r w:rsidR="00FE59BA">
        <w:rPr>
          <w:rFonts w:ascii="Times New Roman" w:hAnsi="Times New Roman" w:cs="Times New Roman"/>
          <w:bCs/>
        </w:rPr>
        <w:t>.</w:t>
      </w:r>
      <w:r w:rsidR="00FE59BA" w:rsidRPr="00FE59BA">
        <w:rPr>
          <w:rFonts w:ascii="Times New Roman" w:hAnsi="Times New Roman" w:cs="Times New Roman"/>
          <w:bCs/>
        </w:rPr>
        <w:t xml:space="preserve"> CLÉRICO</w:t>
      </w:r>
      <w:r w:rsidR="00FE59BA">
        <w:rPr>
          <w:rFonts w:ascii="Times New Roman" w:hAnsi="Times New Roman" w:cs="Times New Roman"/>
          <w:bCs/>
        </w:rPr>
        <w:t>, «</w:t>
      </w:r>
      <w:r w:rsidR="00FE59BA" w:rsidRPr="00FE59BA">
        <w:rPr>
          <w:rFonts w:ascii="Times New Roman" w:hAnsi="Times New Roman" w:cs="Times New Roman"/>
          <w:bCs/>
        </w:rPr>
        <w:t>La igualdad “</w:t>
      </w:r>
      <w:proofErr w:type="spellStart"/>
      <w:r w:rsidR="00FE59BA" w:rsidRPr="00FE59BA">
        <w:rPr>
          <w:rFonts w:ascii="Times New Roman" w:hAnsi="Times New Roman" w:cs="Times New Roman"/>
          <w:bCs/>
        </w:rPr>
        <w:t>des-enmarcada</w:t>
      </w:r>
      <w:proofErr w:type="spellEnd"/>
      <w:r w:rsidR="00FE59BA" w:rsidRPr="00FE59BA">
        <w:rPr>
          <w:rFonts w:ascii="Times New Roman" w:hAnsi="Times New Roman" w:cs="Times New Roman"/>
          <w:bCs/>
        </w:rPr>
        <w:t>”: a veinte años de la reforma constitucional argentina de 1994</w:t>
      </w:r>
      <w:r w:rsidR="00FE59BA">
        <w:rPr>
          <w:rFonts w:ascii="Times New Roman" w:hAnsi="Times New Roman" w:cs="Times New Roman"/>
          <w:bCs/>
        </w:rPr>
        <w:t xml:space="preserve">», </w:t>
      </w:r>
      <w:r w:rsidR="00FE59BA" w:rsidRPr="00FE59BA">
        <w:rPr>
          <w:rFonts w:ascii="Times New Roman" w:hAnsi="Times New Roman" w:cs="Times New Roman"/>
          <w:bCs/>
          <w:i/>
        </w:rPr>
        <w:t xml:space="preserve">Revista Electrónica del Instituto de Investigaciones </w:t>
      </w:r>
      <w:r w:rsidR="008D43A3">
        <w:rPr>
          <w:rFonts w:ascii="Times New Roman" w:hAnsi="Times New Roman" w:cs="Times New Roman"/>
          <w:bCs/>
          <w:i/>
        </w:rPr>
        <w:t>“</w:t>
      </w:r>
      <w:r w:rsidR="00FE59BA" w:rsidRPr="00FE59BA">
        <w:rPr>
          <w:rFonts w:ascii="Times New Roman" w:hAnsi="Times New Roman" w:cs="Times New Roman"/>
          <w:bCs/>
          <w:i/>
        </w:rPr>
        <w:t xml:space="preserve">Ambrosio L. </w:t>
      </w:r>
      <w:proofErr w:type="spellStart"/>
      <w:r w:rsidR="00FE59BA" w:rsidRPr="00FE59BA">
        <w:rPr>
          <w:rFonts w:ascii="Times New Roman" w:hAnsi="Times New Roman" w:cs="Times New Roman"/>
          <w:bCs/>
          <w:i/>
        </w:rPr>
        <w:t>Gioja</w:t>
      </w:r>
      <w:proofErr w:type="spellEnd"/>
      <w:r w:rsidR="008D43A3">
        <w:rPr>
          <w:rFonts w:ascii="Times New Roman" w:hAnsi="Times New Roman" w:cs="Times New Roman"/>
          <w:bCs/>
          <w:i/>
        </w:rPr>
        <w:t>”</w:t>
      </w:r>
      <w:r w:rsidR="00FE59BA">
        <w:rPr>
          <w:rFonts w:ascii="Times New Roman" w:hAnsi="Times New Roman" w:cs="Times New Roman"/>
          <w:bCs/>
        </w:rPr>
        <w:t>,</w:t>
      </w:r>
      <w:r w:rsidR="00FE59BA" w:rsidRPr="00FE59BA">
        <w:rPr>
          <w:rFonts w:ascii="Times New Roman" w:hAnsi="Times New Roman" w:cs="Times New Roman"/>
          <w:bCs/>
        </w:rPr>
        <w:t xml:space="preserve"> Año VIII, </w:t>
      </w:r>
      <w:r w:rsidR="00FE59BA">
        <w:rPr>
          <w:rFonts w:ascii="Times New Roman" w:hAnsi="Times New Roman" w:cs="Times New Roman"/>
          <w:bCs/>
        </w:rPr>
        <w:t>n.</w:t>
      </w:r>
      <w:r w:rsidR="00FE59BA" w:rsidRPr="00FE59BA">
        <w:rPr>
          <w:rFonts w:ascii="Times New Roman" w:hAnsi="Times New Roman" w:cs="Times New Roman"/>
          <w:bCs/>
        </w:rPr>
        <w:t xml:space="preserve"> 13, 2014</w:t>
      </w:r>
      <w:r w:rsidR="00FE59BA">
        <w:rPr>
          <w:rFonts w:ascii="Times New Roman" w:hAnsi="Times New Roman" w:cs="Times New Roman"/>
          <w:bCs/>
        </w:rPr>
        <w:t xml:space="preserve">, (pp. 6-30), p. 25. </w:t>
      </w:r>
    </w:p>
  </w:footnote>
  <w:footnote w:id="35">
    <w:p w14:paraId="3A3F354D" w14:textId="50E61BBE" w:rsidR="007B344A" w:rsidRPr="00AE78CD" w:rsidRDefault="007B344A" w:rsidP="00AE78CD">
      <w:pPr>
        <w:pStyle w:val="Textonotapie"/>
        <w:jc w:val="both"/>
        <w:rPr>
          <w:rFonts w:ascii="Times New Roman" w:hAnsi="Times New Roman" w:cs="Times New Roman"/>
        </w:rPr>
      </w:pPr>
      <w:r w:rsidRPr="00AE78CD">
        <w:rPr>
          <w:rStyle w:val="Refdenotaalpie"/>
          <w:rFonts w:ascii="Times New Roman" w:hAnsi="Times New Roman" w:cs="Times New Roman"/>
        </w:rPr>
        <w:footnoteRef/>
      </w:r>
      <w:r w:rsidRPr="00AE78CD">
        <w:rPr>
          <w:rFonts w:ascii="Times New Roman" w:hAnsi="Times New Roman" w:cs="Times New Roman"/>
        </w:rPr>
        <w:t xml:space="preserve"> Como puede notarse, se trata de una sentencia de 2014, emitida por tanto pocos años después de la sentencia sobre el caso </w:t>
      </w:r>
      <w:proofErr w:type="spellStart"/>
      <w:r w:rsidRPr="00AE78CD">
        <w:rPr>
          <w:rFonts w:ascii="Times New Roman" w:hAnsi="Times New Roman" w:cs="Times New Roman"/>
        </w:rPr>
        <w:t>Schalk</w:t>
      </w:r>
      <w:proofErr w:type="spellEnd"/>
      <w:r w:rsidRPr="00AE78CD">
        <w:rPr>
          <w:rFonts w:ascii="Times New Roman" w:hAnsi="Times New Roman" w:cs="Times New Roman"/>
        </w:rPr>
        <w:t xml:space="preserve"> y </w:t>
      </w:r>
      <w:proofErr w:type="spellStart"/>
      <w:r w:rsidRPr="00AE78CD">
        <w:rPr>
          <w:rFonts w:ascii="Times New Roman" w:hAnsi="Times New Roman" w:cs="Times New Roman"/>
        </w:rPr>
        <w:t>Kopf</w:t>
      </w:r>
      <w:proofErr w:type="spellEnd"/>
      <w:r w:rsidRPr="00AE78CD">
        <w:rPr>
          <w:rFonts w:ascii="Times New Roman" w:hAnsi="Times New Roman" w:cs="Times New Roman"/>
        </w:rPr>
        <w:t>, que constituye la primera decisión en la que el TEDH empezó a reconocer los derechos de las parejas homosexuales y a equipararlos a aquellos de las parejas heterosexuales no casadas. Vid., entre otros, A. SPERTI, «</w:t>
      </w:r>
      <w:proofErr w:type="spellStart"/>
      <w:r w:rsidRPr="00AE78CD">
        <w:rPr>
          <w:rFonts w:ascii="Times New Roman" w:hAnsi="Times New Roman" w:cs="Times New Roman"/>
        </w:rPr>
        <w:t>Il</w:t>
      </w:r>
      <w:proofErr w:type="spellEnd"/>
      <w:r w:rsidRPr="00AE78CD">
        <w:rPr>
          <w:rFonts w:ascii="Times New Roman" w:hAnsi="Times New Roman" w:cs="Times New Roman"/>
        </w:rPr>
        <w:t xml:space="preserve"> </w:t>
      </w:r>
      <w:proofErr w:type="spellStart"/>
      <w:r w:rsidRPr="00AE78CD">
        <w:rPr>
          <w:rFonts w:ascii="Times New Roman" w:hAnsi="Times New Roman" w:cs="Times New Roman"/>
        </w:rPr>
        <w:t>riconoscimento</w:t>
      </w:r>
      <w:proofErr w:type="spellEnd"/>
      <w:r w:rsidRPr="00AE78CD">
        <w:rPr>
          <w:rFonts w:ascii="Times New Roman" w:hAnsi="Times New Roman" w:cs="Times New Roman"/>
        </w:rPr>
        <w:t xml:space="preserve"> </w:t>
      </w:r>
      <w:proofErr w:type="spellStart"/>
      <w:r w:rsidRPr="00AE78CD">
        <w:rPr>
          <w:rFonts w:ascii="Times New Roman" w:hAnsi="Times New Roman" w:cs="Times New Roman"/>
        </w:rPr>
        <w:t>giuridico</w:t>
      </w:r>
      <w:proofErr w:type="spellEnd"/>
      <w:r w:rsidRPr="00AE78CD">
        <w:rPr>
          <w:rFonts w:ascii="Times New Roman" w:hAnsi="Times New Roman" w:cs="Times New Roman"/>
        </w:rPr>
        <w:t xml:space="preserve"> </w:t>
      </w:r>
      <w:proofErr w:type="spellStart"/>
      <w:r w:rsidRPr="00AE78CD">
        <w:rPr>
          <w:rFonts w:ascii="Times New Roman" w:hAnsi="Times New Roman" w:cs="Times New Roman"/>
        </w:rPr>
        <w:t>delle</w:t>
      </w:r>
      <w:proofErr w:type="spellEnd"/>
      <w:r w:rsidRPr="00AE78CD">
        <w:rPr>
          <w:rFonts w:ascii="Times New Roman" w:hAnsi="Times New Roman" w:cs="Times New Roman"/>
        </w:rPr>
        <w:t xml:space="preserve"> </w:t>
      </w:r>
      <w:proofErr w:type="spellStart"/>
      <w:r w:rsidRPr="00AE78CD">
        <w:rPr>
          <w:rFonts w:ascii="Times New Roman" w:hAnsi="Times New Roman" w:cs="Times New Roman"/>
        </w:rPr>
        <w:t>coppie</w:t>
      </w:r>
      <w:proofErr w:type="spellEnd"/>
      <w:r w:rsidRPr="00AE78CD">
        <w:rPr>
          <w:rFonts w:ascii="Times New Roman" w:hAnsi="Times New Roman" w:cs="Times New Roman"/>
        </w:rPr>
        <w:t xml:space="preserve"> </w:t>
      </w:r>
      <w:proofErr w:type="spellStart"/>
      <w:r w:rsidRPr="00AE78CD">
        <w:rPr>
          <w:rFonts w:ascii="Times New Roman" w:hAnsi="Times New Roman" w:cs="Times New Roman"/>
        </w:rPr>
        <w:t>same</w:t>
      </w:r>
      <w:proofErr w:type="spellEnd"/>
      <w:r w:rsidRPr="00AE78CD">
        <w:rPr>
          <w:rFonts w:ascii="Times New Roman" w:hAnsi="Times New Roman" w:cs="Times New Roman"/>
        </w:rPr>
        <w:t xml:space="preserve">-sex a </w:t>
      </w:r>
      <w:proofErr w:type="spellStart"/>
      <w:r w:rsidRPr="00AE78CD">
        <w:rPr>
          <w:rFonts w:ascii="Times New Roman" w:hAnsi="Times New Roman" w:cs="Times New Roman"/>
        </w:rPr>
        <w:t>Strasburgo</w:t>
      </w:r>
      <w:proofErr w:type="spellEnd"/>
      <w:r w:rsidRPr="00AE78CD">
        <w:rPr>
          <w:rFonts w:ascii="Times New Roman" w:hAnsi="Times New Roman" w:cs="Times New Roman"/>
        </w:rPr>
        <w:t xml:space="preserve">, in </w:t>
      </w:r>
      <w:proofErr w:type="spellStart"/>
      <w:r w:rsidRPr="00AE78CD">
        <w:rPr>
          <w:rFonts w:ascii="Times New Roman" w:hAnsi="Times New Roman" w:cs="Times New Roman"/>
        </w:rPr>
        <w:t>attesa</w:t>
      </w:r>
      <w:proofErr w:type="spellEnd"/>
      <w:r w:rsidRPr="00AE78CD">
        <w:rPr>
          <w:rFonts w:ascii="Times New Roman" w:hAnsi="Times New Roman" w:cs="Times New Roman"/>
        </w:rPr>
        <w:t xml:space="preserve"> di una </w:t>
      </w:r>
      <w:proofErr w:type="spellStart"/>
      <w:r w:rsidRPr="00AE78CD">
        <w:rPr>
          <w:rFonts w:ascii="Times New Roman" w:hAnsi="Times New Roman" w:cs="Times New Roman"/>
        </w:rPr>
        <w:t>piena</w:t>
      </w:r>
      <w:proofErr w:type="spellEnd"/>
      <w:r w:rsidRPr="00AE78CD">
        <w:rPr>
          <w:rFonts w:ascii="Times New Roman" w:hAnsi="Times New Roman" w:cs="Times New Roman"/>
        </w:rPr>
        <w:t xml:space="preserve"> </w:t>
      </w:r>
      <w:proofErr w:type="spellStart"/>
      <w:r w:rsidRPr="00AE78CD">
        <w:rPr>
          <w:rFonts w:ascii="Times New Roman" w:hAnsi="Times New Roman" w:cs="Times New Roman"/>
        </w:rPr>
        <w:t>eguaglianza</w:t>
      </w:r>
      <w:proofErr w:type="spellEnd"/>
      <w:r w:rsidRPr="00AE78CD">
        <w:rPr>
          <w:rFonts w:ascii="Times New Roman" w:hAnsi="Times New Roman" w:cs="Times New Roman"/>
        </w:rPr>
        <w:t xml:space="preserve">», </w:t>
      </w:r>
      <w:proofErr w:type="spellStart"/>
      <w:r w:rsidRPr="00AE78CD">
        <w:rPr>
          <w:rFonts w:ascii="Times New Roman" w:hAnsi="Times New Roman" w:cs="Times New Roman"/>
        </w:rPr>
        <w:t>op</w:t>
      </w:r>
      <w:proofErr w:type="spellEnd"/>
      <w:r w:rsidRPr="00AE78CD">
        <w:rPr>
          <w:rFonts w:ascii="Times New Roman" w:hAnsi="Times New Roman" w:cs="Times New Roman"/>
        </w:rPr>
        <w:t xml:space="preserve">. cit.; A. TORRES PÉREZ, «El matrimonio entre personas del mismo sexo a la luz del Convenio Europeo de derechos Humanos y la Unión Europea», </w:t>
      </w:r>
      <w:proofErr w:type="spellStart"/>
      <w:r w:rsidRPr="00AE78CD">
        <w:rPr>
          <w:rFonts w:ascii="Times New Roman" w:hAnsi="Times New Roman" w:cs="Times New Roman"/>
        </w:rPr>
        <w:t>op</w:t>
      </w:r>
      <w:proofErr w:type="spellEnd"/>
      <w:r w:rsidRPr="00AE78CD">
        <w:rPr>
          <w:rFonts w:ascii="Times New Roman" w:hAnsi="Times New Roman" w:cs="Times New Roman"/>
        </w:rPr>
        <w:t xml:space="preserve">. cit.; S. ROMBOLI, «La protección de las parejas homosexuales frente a la discriminación en la evolución de la jurisprudencia del Tribunal Europeo: pasado, presente y unas previsiones para el futuro», </w:t>
      </w:r>
      <w:proofErr w:type="spellStart"/>
      <w:r w:rsidRPr="00AE78CD">
        <w:rPr>
          <w:rFonts w:ascii="Times New Roman" w:hAnsi="Times New Roman" w:cs="Times New Roman"/>
        </w:rPr>
        <w:t>op</w:t>
      </w:r>
      <w:proofErr w:type="spellEnd"/>
      <w:r w:rsidRPr="00AE78CD">
        <w:rPr>
          <w:rFonts w:ascii="Times New Roman" w:hAnsi="Times New Roman" w:cs="Times New Roman"/>
        </w:rPr>
        <w:t>. cit.</w:t>
      </w:r>
    </w:p>
  </w:footnote>
  <w:footnote w:id="36">
    <w:p w14:paraId="7C85DDCD" w14:textId="0E0E88AD" w:rsidR="007B344A" w:rsidRPr="00AE78CD" w:rsidRDefault="007B344A" w:rsidP="00AE78CD">
      <w:pPr>
        <w:pStyle w:val="Textonotapie"/>
        <w:jc w:val="both"/>
        <w:rPr>
          <w:rFonts w:ascii="Times New Roman" w:hAnsi="Times New Roman" w:cs="Times New Roman"/>
        </w:rPr>
      </w:pPr>
      <w:r w:rsidRPr="00AE78CD">
        <w:rPr>
          <w:rStyle w:val="Refdenotaalpie"/>
          <w:rFonts w:ascii="Times New Roman" w:hAnsi="Times New Roman" w:cs="Times New Roman"/>
        </w:rPr>
        <w:footnoteRef/>
      </w:r>
      <w:r w:rsidRPr="00AE78CD">
        <w:rPr>
          <w:rFonts w:ascii="Times New Roman" w:hAnsi="Times New Roman" w:cs="Times New Roman"/>
        </w:rPr>
        <w:t xml:space="preserve"> </w:t>
      </w:r>
      <w:hyperlink r:id="rId25" w:anchor="{%22itemid%22:[%22001-153134%22]}" w:history="1">
        <w:r w:rsidRPr="00AE78CD">
          <w:rPr>
            <w:rStyle w:val="Hipervnculo"/>
            <w:rFonts w:ascii="Times New Roman" w:hAnsi="Times New Roman" w:cs="Times New Roman"/>
          </w:rPr>
          <w:t>https://hudoc.echr.coe.int/fre#{%22itemid%22:[%22001-153134%22]}</w:t>
        </w:r>
      </w:hyperlink>
      <w:r w:rsidRPr="00AE78CD">
        <w:rPr>
          <w:rFonts w:ascii="Times New Roman" w:hAnsi="Times New Roman" w:cs="Times New Roman"/>
        </w:rPr>
        <w:t xml:space="preserve">. </w:t>
      </w:r>
    </w:p>
  </w:footnote>
  <w:footnote w:id="37">
    <w:p w14:paraId="3FCDB9F2" w14:textId="189E1C27" w:rsidR="007B344A" w:rsidRPr="00AE78CD" w:rsidRDefault="007B344A" w:rsidP="00AE78CD">
      <w:pPr>
        <w:pStyle w:val="Textonotapie"/>
        <w:jc w:val="both"/>
        <w:rPr>
          <w:rFonts w:ascii="Times New Roman" w:hAnsi="Times New Roman" w:cs="Times New Roman"/>
        </w:rPr>
      </w:pPr>
      <w:r w:rsidRPr="00AE78CD">
        <w:rPr>
          <w:rStyle w:val="Refdenotaalpie"/>
          <w:rFonts w:ascii="Times New Roman" w:hAnsi="Times New Roman" w:cs="Times New Roman"/>
        </w:rPr>
        <w:footnoteRef/>
      </w:r>
      <w:r w:rsidRPr="00AE78CD">
        <w:rPr>
          <w:rFonts w:ascii="Times New Roman" w:hAnsi="Times New Roman" w:cs="Times New Roman"/>
        </w:rPr>
        <w:t xml:space="preserve"> Según ese “test”, el solicitante tiene que haber vivido como una persona del sexo reivindicado durante un período específico; en 2015, los Estados que pedían someterse a este “test” eran: Alemania, Bélgica solo para determinadas operaciones, España, Finlandia, Países Bajos, Reino Unido y Suiza.</w:t>
      </w:r>
    </w:p>
  </w:footnote>
  <w:footnote w:id="38">
    <w:p w14:paraId="23F9C961" w14:textId="3CE53DD3" w:rsidR="007B344A" w:rsidRPr="00AE78CD" w:rsidRDefault="007B344A" w:rsidP="00AE78CD">
      <w:pPr>
        <w:pStyle w:val="Textonotapie"/>
        <w:jc w:val="both"/>
        <w:rPr>
          <w:rFonts w:ascii="Times New Roman" w:hAnsi="Times New Roman" w:cs="Times New Roman"/>
        </w:rPr>
      </w:pPr>
      <w:r w:rsidRPr="00AE78CD">
        <w:rPr>
          <w:rStyle w:val="Refdenotaalpie"/>
          <w:rFonts w:ascii="Times New Roman" w:hAnsi="Times New Roman" w:cs="Times New Roman"/>
        </w:rPr>
        <w:footnoteRef/>
      </w:r>
      <w:r w:rsidRPr="00AE78CD">
        <w:rPr>
          <w:rFonts w:ascii="Times New Roman" w:hAnsi="Times New Roman" w:cs="Times New Roman"/>
        </w:rPr>
        <w:t xml:space="preserve"> Además, recordó el TEDH, esa injerencia tiene que estar prevista en la ley nacional, hecho no controvertido en este caso (</w:t>
      </w:r>
      <w:r w:rsidRPr="00AE78CD">
        <w:rPr>
          <w:rFonts w:ascii="Times New Roman" w:hAnsi="Times New Roman" w:cs="Times New Roman"/>
          <w:bCs/>
        </w:rPr>
        <w:t xml:space="preserve">§§ </w:t>
      </w:r>
      <w:r w:rsidRPr="00AE78CD">
        <w:rPr>
          <w:rFonts w:ascii="Times New Roman" w:hAnsi="Times New Roman" w:cs="Times New Roman"/>
        </w:rPr>
        <w:t xml:space="preserve">68-71). </w:t>
      </w:r>
    </w:p>
  </w:footnote>
  <w:footnote w:id="39">
    <w:p w14:paraId="6C0A1817" w14:textId="612EC878" w:rsidR="007B344A" w:rsidRPr="00AE78CD" w:rsidRDefault="007B344A" w:rsidP="00AE78CD">
      <w:pPr>
        <w:pStyle w:val="Textonotapie"/>
        <w:jc w:val="both"/>
        <w:rPr>
          <w:rFonts w:ascii="Times New Roman" w:hAnsi="Times New Roman" w:cs="Times New Roman"/>
        </w:rPr>
      </w:pPr>
      <w:r w:rsidRPr="00AE78CD">
        <w:rPr>
          <w:rStyle w:val="Refdenotaalpie"/>
          <w:rFonts w:ascii="Times New Roman" w:hAnsi="Times New Roman" w:cs="Times New Roman"/>
        </w:rPr>
        <w:footnoteRef/>
      </w:r>
      <w:r w:rsidRPr="00AE78CD">
        <w:rPr>
          <w:rFonts w:ascii="Times New Roman" w:hAnsi="Times New Roman" w:cs="Times New Roman"/>
        </w:rPr>
        <w:t xml:space="preserve"> El caso </w:t>
      </w:r>
      <w:proofErr w:type="spellStart"/>
      <w:r w:rsidRPr="00AE78CD">
        <w:rPr>
          <w:rFonts w:ascii="Times New Roman" w:hAnsi="Times New Roman" w:cs="Times New Roman"/>
          <w:b/>
          <w:i/>
          <w:iCs/>
        </w:rPr>
        <w:t>Identoba</w:t>
      </w:r>
      <w:proofErr w:type="spellEnd"/>
      <w:r w:rsidRPr="00AE78CD">
        <w:rPr>
          <w:rFonts w:ascii="Times New Roman" w:hAnsi="Times New Roman" w:cs="Times New Roman"/>
          <w:b/>
          <w:i/>
          <w:iCs/>
        </w:rPr>
        <w:t> y Otros contra Georgia</w:t>
      </w:r>
      <w:r w:rsidRPr="00AE78CD">
        <w:rPr>
          <w:rFonts w:ascii="Times New Roman" w:hAnsi="Times New Roman" w:cs="Times New Roman"/>
        </w:rPr>
        <w:t xml:space="preserve">, de 12 de mayo de 2015, constituye un caso solo indirectamente pertinente al tema de la protección del colectivo transexual, dado que se refiere a un recurso interpuesto por la presunta violación del derecho de reunión y manifestación </w:t>
      </w:r>
      <w:r w:rsidRPr="00AE78CD">
        <w:rPr>
          <w:rFonts w:ascii="Times New Roman" w:hAnsi="Times New Roman" w:cs="Times New Roman"/>
          <w:i/>
        </w:rPr>
        <w:t>ex</w:t>
      </w:r>
      <w:r w:rsidRPr="00AE78CD">
        <w:rPr>
          <w:rFonts w:ascii="Times New Roman" w:hAnsi="Times New Roman" w:cs="Times New Roman"/>
        </w:rPr>
        <w:t xml:space="preserve"> art. 11 CEDH durante una manifestación celebrada en ocasión de la jornada internacional contra la homofobia. V. </w:t>
      </w:r>
      <w:hyperlink r:id="rId26" w:anchor="{%22fulltext%22:[%22Identoba%20and%20others%20v.%20Georgia%22],%22itemid%22:[%22001-154400%22]}" w:history="1">
        <w:r w:rsidRPr="00AE78CD">
          <w:rPr>
            <w:rStyle w:val="Hipervnculo"/>
            <w:rFonts w:ascii="Times New Roman" w:hAnsi="Times New Roman" w:cs="Times New Roman"/>
          </w:rPr>
          <w:t>https://hudoc.echr.coe.int/fre#{%22fulltext%22:[%22Identoba%20and%20others%20v.%20Georgia%22],%22itemid%22:[%22001-154400%22]}</w:t>
        </w:r>
      </w:hyperlink>
      <w:r w:rsidRPr="00AE78CD">
        <w:rPr>
          <w:rFonts w:ascii="Times New Roman" w:hAnsi="Times New Roman" w:cs="Times New Roman"/>
        </w:rPr>
        <w:t xml:space="preserve">. </w:t>
      </w:r>
    </w:p>
  </w:footnote>
  <w:footnote w:id="40">
    <w:p w14:paraId="06AE1697" w14:textId="345465A7" w:rsidR="007B344A" w:rsidRDefault="007B344A" w:rsidP="00AE78CD">
      <w:pPr>
        <w:pStyle w:val="Textonotapie"/>
        <w:jc w:val="both"/>
        <w:rPr>
          <w:rFonts w:ascii="Times New Roman" w:hAnsi="Times New Roman" w:cs="Times New Roman"/>
        </w:rPr>
      </w:pPr>
      <w:r w:rsidRPr="00AE78CD">
        <w:rPr>
          <w:rStyle w:val="Refdenotaalpie"/>
          <w:rFonts w:ascii="Times New Roman" w:hAnsi="Times New Roman" w:cs="Times New Roman"/>
        </w:rPr>
        <w:footnoteRef/>
      </w:r>
      <w:r w:rsidRPr="00AE78CD">
        <w:rPr>
          <w:rFonts w:ascii="Times New Roman" w:hAnsi="Times New Roman" w:cs="Times New Roman"/>
        </w:rPr>
        <w:t xml:space="preserve"> </w:t>
      </w:r>
      <w:hyperlink r:id="rId27" w:anchor="{%22languageisocode%22:[%22FRE%22],%22appno%22:[%2279885/12%22,%2252471/13%22,%2252596/13%22],%22documentcollectionid2%22:[%22CHAMBER%22],%22itemid%22:[%22001-172556%22]}" w:history="1">
        <w:r w:rsidRPr="00AE78CD">
          <w:rPr>
            <w:rStyle w:val="Hipervnculo"/>
            <w:rFonts w:ascii="Times New Roman" w:hAnsi="Times New Roman" w:cs="Times New Roman"/>
          </w:rPr>
          <w:t>https://hudoc.echr.coe.int/fre#{%22languageisocode%22:[%22FRE%22],%22appno%22:[%2279885/12%22,%2252471/13%22,%2252596/13%22],%22documentcollectionid2%22:[%22CHAMBER%22],%22itemid%22:[%22001-172556%22]}</w:t>
        </w:r>
      </w:hyperlink>
      <w:r w:rsidRPr="00AE78CD">
        <w:rPr>
          <w:rFonts w:ascii="Times New Roman" w:hAnsi="Times New Roman" w:cs="Times New Roman"/>
        </w:rPr>
        <w:t xml:space="preserve">. </w:t>
      </w:r>
    </w:p>
    <w:p w14:paraId="24CC81ED" w14:textId="4919194E" w:rsidR="00481726" w:rsidRPr="00AE78CD" w:rsidRDefault="00481726" w:rsidP="00481726">
      <w:pPr>
        <w:pStyle w:val="Textonotapie"/>
        <w:jc w:val="both"/>
        <w:rPr>
          <w:rFonts w:ascii="Times New Roman" w:hAnsi="Times New Roman" w:cs="Times New Roman"/>
        </w:rPr>
      </w:pPr>
      <w:r>
        <w:rPr>
          <w:rFonts w:ascii="Times New Roman" w:hAnsi="Times New Roman" w:cs="Times New Roman"/>
        </w:rPr>
        <w:t xml:space="preserve">Vid., también, </w:t>
      </w:r>
      <w:r w:rsidR="00EA55CB" w:rsidRPr="00EA55CB">
        <w:rPr>
          <w:rFonts w:ascii="Times New Roman" w:hAnsi="Times New Roman" w:cs="Times New Roman"/>
        </w:rPr>
        <w:t xml:space="preserve">F. M. RUIZ-RISUEÑO MONTOYA, «Los derechos de las personas LGTB en la jurisprudencia del Tribunal Europeo de Derechos Humanos», </w:t>
      </w:r>
      <w:proofErr w:type="spellStart"/>
      <w:r w:rsidR="00EA55CB">
        <w:rPr>
          <w:rFonts w:ascii="Times New Roman" w:hAnsi="Times New Roman" w:cs="Times New Roman"/>
        </w:rPr>
        <w:t>op</w:t>
      </w:r>
      <w:proofErr w:type="spellEnd"/>
      <w:r w:rsidR="00EA55CB">
        <w:rPr>
          <w:rFonts w:ascii="Times New Roman" w:hAnsi="Times New Roman" w:cs="Times New Roman"/>
        </w:rPr>
        <w:t xml:space="preserve">. cit., p. 115. </w:t>
      </w:r>
    </w:p>
  </w:footnote>
  <w:footnote w:id="41">
    <w:p w14:paraId="10EE0FD5" w14:textId="15DE9513" w:rsidR="007B344A" w:rsidRPr="00AE78CD" w:rsidRDefault="007B344A" w:rsidP="00AE78CD">
      <w:pPr>
        <w:pStyle w:val="Textonotapie"/>
        <w:jc w:val="both"/>
        <w:rPr>
          <w:rFonts w:ascii="Times New Roman" w:hAnsi="Times New Roman" w:cs="Times New Roman"/>
        </w:rPr>
      </w:pPr>
      <w:r w:rsidRPr="00AE78CD">
        <w:rPr>
          <w:rStyle w:val="Refdenotaalpie"/>
          <w:rFonts w:ascii="Times New Roman" w:hAnsi="Times New Roman" w:cs="Times New Roman"/>
        </w:rPr>
        <w:footnoteRef/>
      </w:r>
      <w:r w:rsidRPr="00AE78CD">
        <w:rPr>
          <w:rFonts w:ascii="Times New Roman" w:hAnsi="Times New Roman" w:cs="Times New Roman"/>
        </w:rPr>
        <w:t xml:space="preserve"> Como ya se ha dejado de manifiesto, el TEDH había vinculado las problemáticas de las personas transexuales a la protección de este derecho en sentencias como la sobre el </w:t>
      </w:r>
      <w:r w:rsidRPr="00AE78CD">
        <w:rPr>
          <w:rFonts w:ascii="Times New Roman" w:hAnsi="Times New Roman" w:cs="Times New Roman"/>
          <w:bCs/>
        </w:rPr>
        <w:t xml:space="preserve">asunto </w:t>
      </w:r>
      <w:proofErr w:type="spellStart"/>
      <w:r w:rsidRPr="00AE78CD">
        <w:rPr>
          <w:rFonts w:ascii="Times New Roman" w:hAnsi="Times New Roman" w:cs="Times New Roman"/>
          <w:bCs/>
          <w:i/>
          <w:iCs/>
        </w:rPr>
        <w:t>Hämäläinen</w:t>
      </w:r>
      <w:proofErr w:type="spellEnd"/>
      <w:r w:rsidRPr="00AE78CD">
        <w:rPr>
          <w:rFonts w:ascii="Times New Roman" w:hAnsi="Times New Roman" w:cs="Times New Roman"/>
          <w:bCs/>
          <w:i/>
          <w:iCs/>
        </w:rPr>
        <w:t>.</w:t>
      </w:r>
      <w:r w:rsidRPr="00AE78CD">
        <w:rPr>
          <w:rFonts w:ascii="Times New Roman" w:hAnsi="Times New Roman" w:cs="Times New Roman"/>
          <w:b/>
          <w:bCs/>
          <w:i/>
          <w:iCs/>
        </w:rPr>
        <w:t xml:space="preserve"> </w:t>
      </w:r>
    </w:p>
  </w:footnote>
  <w:footnote w:id="42">
    <w:p w14:paraId="2BD633F5" w14:textId="77777777" w:rsidR="007B344A" w:rsidRPr="00AE78CD" w:rsidRDefault="007B344A" w:rsidP="00AE78CD">
      <w:pPr>
        <w:pStyle w:val="Textonotapie"/>
        <w:jc w:val="both"/>
        <w:rPr>
          <w:rFonts w:ascii="Times New Roman" w:hAnsi="Times New Roman" w:cs="Times New Roman"/>
        </w:rPr>
      </w:pPr>
      <w:r w:rsidRPr="00AE78CD">
        <w:rPr>
          <w:rStyle w:val="Refdenotaalpie"/>
          <w:rFonts w:ascii="Times New Roman" w:hAnsi="Times New Roman" w:cs="Times New Roman"/>
        </w:rPr>
        <w:footnoteRef/>
      </w:r>
      <w:r w:rsidRPr="00AE78CD">
        <w:rPr>
          <w:rFonts w:ascii="Times New Roman" w:hAnsi="Times New Roman" w:cs="Times New Roman"/>
        </w:rPr>
        <w:t xml:space="preserve"> Como ya se ha mencionado, Á. J. GÓMEZ MONTORO, «Vida privada y autonomía personal o una interpretación “</w:t>
      </w:r>
      <w:proofErr w:type="spellStart"/>
      <w:r w:rsidRPr="00AE78CD">
        <w:rPr>
          <w:rFonts w:ascii="Times New Roman" w:hAnsi="Times New Roman" w:cs="Times New Roman"/>
        </w:rPr>
        <w:t>passe-partout</w:t>
      </w:r>
      <w:proofErr w:type="spellEnd"/>
      <w:r w:rsidRPr="00AE78CD">
        <w:rPr>
          <w:rFonts w:ascii="Times New Roman" w:hAnsi="Times New Roman" w:cs="Times New Roman"/>
        </w:rPr>
        <w:t xml:space="preserve">” del artículo 8 CEDH», </w:t>
      </w:r>
      <w:proofErr w:type="spellStart"/>
      <w:r w:rsidRPr="00AE78CD">
        <w:rPr>
          <w:rFonts w:ascii="Times New Roman" w:hAnsi="Times New Roman" w:cs="Times New Roman"/>
        </w:rPr>
        <w:t>op</w:t>
      </w:r>
      <w:proofErr w:type="spellEnd"/>
      <w:r w:rsidRPr="00AE78CD">
        <w:rPr>
          <w:rFonts w:ascii="Times New Roman" w:hAnsi="Times New Roman" w:cs="Times New Roman"/>
        </w:rPr>
        <w:t xml:space="preserve">. cit., critica esta fuerza “expansiva” del art. 8 CEDH. </w:t>
      </w:r>
    </w:p>
  </w:footnote>
  <w:footnote w:id="43">
    <w:p w14:paraId="7744CB89" w14:textId="5B54EF86" w:rsidR="007B344A" w:rsidRDefault="007B344A" w:rsidP="00AE78CD">
      <w:pPr>
        <w:pStyle w:val="Textonotapie"/>
        <w:jc w:val="both"/>
        <w:rPr>
          <w:rFonts w:ascii="Times New Roman" w:hAnsi="Times New Roman" w:cs="Times New Roman"/>
        </w:rPr>
      </w:pPr>
      <w:r w:rsidRPr="00AE78CD">
        <w:rPr>
          <w:rStyle w:val="Refdenotaalpie"/>
          <w:rFonts w:ascii="Times New Roman" w:hAnsi="Times New Roman" w:cs="Times New Roman"/>
        </w:rPr>
        <w:footnoteRef/>
      </w:r>
      <w:r w:rsidRPr="00AE78CD">
        <w:rPr>
          <w:rFonts w:ascii="Times New Roman" w:hAnsi="Times New Roman" w:cs="Times New Roman"/>
        </w:rPr>
        <w:t xml:space="preserve"> </w:t>
      </w:r>
      <w:hyperlink r:id="rId28" w:anchor="{%22itemid%22:[%22001-186668%22]}" w:history="1">
        <w:r w:rsidRPr="00AE78CD">
          <w:rPr>
            <w:rStyle w:val="Hipervnculo"/>
            <w:rFonts w:ascii="Times New Roman" w:hAnsi="Times New Roman" w:cs="Times New Roman"/>
          </w:rPr>
          <w:t>https://hudoc.echr.coe.int/fre#{%22itemid%22:[%22001-186668%22]}</w:t>
        </w:r>
      </w:hyperlink>
      <w:r w:rsidRPr="00AE78CD">
        <w:rPr>
          <w:rFonts w:ascii="Times New Roman" w:hAnsi="Times New Roman" w:cs="Times New Roman"/>
        </w:rPr>
        <w:t xml:space="preserve">. </w:t>
      </w:r>
    </w:p>
    <w:p w14:paraId="6475DC31" w14:textId="5023256B" w:rsidR="005966A8" w:rsidRPr="00785597" w:rsidRDefault="005966A8" w:rsidP="00AE78CD">
      <w:pPr>
        <w:pStyle w:val="Textonotapie"/>
        <w:jc w:val="both"/>
        <w:rPr>
          <w:rFonts w:ascii="Times New Roman" w:hAnsi="Times New Roman" w:cs="Times New Roman"/>
        </w:rPr>
      </w:pPr>
      <w:r>
        <w:rPr>
          <w:rFonts w:ascii="Times New Roman" w:hAnsi="Times New Roman" w:cs="Times New Roman"/>
        </w:rPr>
        <w:t xml:space="preserve">En doctrina, vid. </w:t>
      </w:r>
      <w:r w:rsidRPr="00785597">
        <w:rPr>
          <w:rFonts w:ascii="Times New Roman" w:hAnsi="Times New Roman" w:cs="Times New Roman"/>
        </w:rPr>
        <w:t xml:space="preserve">P. CANNOOT, «S.V. v. </w:t>
      </w:r>
      <w:proofErr w:type="spellStart"/>
      <w:r w:rsidRPr="00785597">
        <w:rPr>
          <w:rFonts w:ascii="Times New Roman" w:hAnsi="Times New Roman" w:cs="Times New Roman"/>
        </w:rPr>
        <w:t>Italy</w:t>
      </w:r>
      <w:proofErr w:type="spellEnd"/>
      <w:r w:rsidRPr="00785597">
        <w:rPr>
          <w:rFonts w:ascii="Times New Roman" w:hAnsi="Times New Roman" w:cs="Times New Roman"/>
        </w:rPr>
        <w:t xml:space="preserve">: </w:t>
      </w:r>
      <w:proofErr w:type="spellStart"/>
      <w:r w:rsidRPr="00785597">
        <w:rPr>
          <w:rFonts w:ascii="Times New Roman" w:hAnsi="Times New Roman" w:cs="Times New Roman"/>
        </w:rPr>
        <w:t>on</w:t>
      </w:r>
      <w:proofErr w:type="spellEnd"/>
      <w:r w:rsidRPr="00785597">
        <w:rPr>
          <w:rFonts w:ascii="Times New Roman" w:hAnsi="Times New Roman" w:cs="Times New Roman"/>
        </w:rPr>
        <w:t xml:space="preserve"> </w:t>
      </w:r>
      <w:proofErr w:type="spellStart"/>
      <w:r w:rsidRPr="00785597">
        <w:rPr>
          <w:rFonts w:ascii="Times New Roman" w:hAnsi="Times New Roman" w:cs="Times New Roman"/>
        </w:rPr>
        <w:t>temporality</w:t>
      </w:r>
      <w:proofErr w:type="spellEnd"/>
      <w:r w:rsidRPr="00785597">
        <w:rPr>
          <w:rFonts w:ascii="Times New Roman" w:hAnsi="Times New Roman" w:cs="Times New Roman"/>
        </w:rPr>
        <w:t xml:space="preserve"> and </w:t>
      </w:r>
      <w:proofErr w:type="spellStart"/>
      <w:r w:rsidRPr="00785597">
        <w:rPr>
          <w:rFonts w:ascii="Times New Roman" w:hAnsi="Times New Roman" w:cs="Times New Roman"/>
        </w:rPr>
        <w:t>transgender</w:t>
      </w:r>
      <w:proofErr w:type="spellEnd"/>
      <w:r w:rsidRPr="00785597">
        <w:rPr>
          <w:rFonts w:ascii="Times New Roman" w:hAnsi="Times New Roman" w:cs="Times New Roman"/>
        </w:rPr>
        <w:t xml:space="preserve"> </w:t>
      </w:r>
      <w:proofErr w:type="spellStart"/>
      <w:r w:rsidRPr="00785597">
        <w:rPr>
          <w:rFonts w:ascii="Times New Roman" w:hAnsi="Times New Roman" w:cs="Times New Roman"/>
        </w:rPr>
        <w:t>persons</w:t>
      </w:r>
      <w:proofErr w:type="spellEnd"/>
      <w:r w:rsidRPr="00785597">
        <w:rPr>
          <w:rFonts w:ascii="Times New Roman" w:hAnsi="Times New Roman" w:cs="Times New Roman"/>
        </w:rPr>
        <w:t>»,</w:t>
      </w:r>
      <w:r w:rsidR="00785597" w:rsidRPr="00785597">
        <w:rPr>
          <w:rFonts w:ascii="Times New Roman" w:hAnsi="Times New Roman" w:cs="Times New Roman"/>
        </w:rPr>
        <w:t xml:space="preserve"> </w:t>
      </w:r>
      <w:proofErr w:type="spellStart"/>
      <w:r w:rsidR="00785597" w:rsidRPr="00EB4C0E">
        <w:rPr>
          <w:rFonts w:ascii="Times New Roman" w:hAnsi="Times New Roman" w:cs="Times New Roman"/>
          <w:i/>
        </w:rPr>
        <w:t>Strasbourg</w:t>
      </w:r>
      <w:proofErr w:type="spellEnd"/>
      <w:r w:rsidR="00785597" w:rsidRPr="00EB4C0E">
        <w:rPr>
          <w:rFonts w:ascii="Times New Roman" w:hAnsi="Times New Roman" w:cs="Times New Roman"/>
          <w:i/>
        </w:rPr>
        <w:t xml:space="preserve"> </w:t>
      </w:r>
      <w:proofErr w:type="spellStart"/>
      <w:r w:rsidR="00785597" w:rsidRPr="00EB4C0E">
        <w:rPr>
          <w:rFonts w:ascii="Times New Roman" w:hAnsi="Times New Roman" w:cs="Times New Roman"/>
          <w:i/>
        </w:rPr>
        <w:t>Observers</w:t>
      </w:r>
      <w:proofErr w:type="spellEnd"/>
      <w:r w:rsidR="00785597" w:rsidRPr="00785597">
        <w:rPr>
          <w:rFonts w:ascii="Times New Roman" w:hAnsi="Times New Roman" w:cs="Times New Roman"/>
        </w:rPr>
        <w:t xml:space="preserve">, </w:t>
      </w:r>
      <w:r w:rsidR="00F12C80">
        <w:rPr>
          <w:rFonts w:ascii="Times New Roman" w:hAnsi="Times New Roman" w:cs="Times New Roman"/>
        </w:rPr>
        <w:t xml:space="preserve">2018, </w:t>
      </w:r>
      <w:r w:rsidR="00785597" w:rsidRPr="00785597">
        <w:rPr>
          <w:rFonts w:ascii="Times New Roman" w:hAnsi="Times New Roman" w:cs="Times New Roman"/>
        </w:rPr>
        <w:t>dispo</w:t>
      </w:r>
      <w:r w:rsidR="00785597">
        <w:rPr>
          <w:rFonts w:ascii="Times New Roman" w:hAnsi="Times New Roman" w:cs="Times New Roman"/>
        </w:rPr>
        <w:t>n</w:t>
      </w:r>
      <w:r w:rsidR="00785597" w:rsidRPr="00785597">
        <w:rPr>
          <w:rFonts w:ascii="Times New Roman" w:hAnsi="Times New Roman" w:cs="Times New Roman"/>
        </w:rPr>
        <w:t xml:space="preserve">ible en </w:t>
      </w:r>
      <w:hyperlink r:id="rId29" w:history="1">
        <w:r w:rsidR="00785597" w:rsidRPr="00DB1DE0">
          <w:rPr>
            <w:rStyle w:val="Hipervnculo"/>
            <w:rFonts w:ascii="Times New Roman" w:hAnsi="Times New Roman" w:cs="Times New Roman"/>
          </w:rPr>
          <w:t>https://strasbourgobservers.com/2018/10/19/s-v-v-italy-on-temporality-and-transgender-persons/</w:t>
        </w:r>
      </w:hyperlink>
      <w:r w:rsidR="00582246">
        <w:rPr>
          <w:rFonts w:ascii="Times New Roman" w:hAnsi="Times New Roman" w:cs="Times New Roman"/>
        </w:rPr>
        <w:t xml:space="preserve">; </w:t>
      </w:r>
      <w:r w:rsidR="00582246" w:rsidRPr="00582246">
        <w:rPr>
          <w:rFonts w:ascii="Times New Roman" w:hAnsi="Times New Roman" w:cs="Times New Roman"/>
        </w:rPr>
        <w:t>C</w:t>
      </w:r>
      <w:r w:rsidR="00582246">
        <w:rPr>
          <w:rFonts w:ascii="Times New Roman" w:hAnsi="Times New Roman" w:cs="Times New Roman"/>
        </w:rPr>
        <w:t>.</w:t>
      </w:r>
      <w:r w:rsidR="00582246" w:rsidRPr="00582246">
        <w:rPr>
          <w:rFonts w:ascii="Times New Roman" w:hAnsi="Times New Roman" w:cs="Times New Roman"/>
        </w:rPr>
        <w:t xml:space="preserve"> M</w:t>
      </w:r>
      <w:r w:rsidR="00582246">
        <w:rPr>
          <w:rFonts w:ascii="Times New Roman" w:hAnsi="Times New Roman" w:cs="Times New Roman"/>
        </w:rPr>
        <w:t>.</w:t>
      </w:r>
      <w:r w:rsidR="00582246" w:rsidRPr="00582246">
        <w:rPr>
          <w:rFonts w:ascii="Times New Roman" w:hAnsi="Times New Roman" w:cs="Times New Roman"/>
        </w:rPr>
        <w:t xml:space="preserve"> </w:t>
      </w:r>
      <w:r w:rsidR="00DE4D7B" w:rsidRPr="00582246">
        <w:rPr>
          <w:rFonts w:ascii="Times New Roman" w:hAnsi="Times New Roman" w:cs="Times New Roman"/>
        </w:rPr>
        <w:t>REALE</w:t>
      </w:r>
      <w:r w:rsidR="00582246">
        <w:rPr>
          <w:rFonts w:ascii="Times New Roman" w:hAnsi="Times New Roman" w:cs="Times New Roman"/>
        </w:rPr>
        <w:t>, «</w:t>
      </w:r>
      <w:r w:rsidR="00582246" w:rsidRPr="00582246">
        <w:rPr>
          <w:rFonts w:ascii="Times New Roman" w:hAnsi="Times New Roman" w:cs="Times New Roman"/>
        </w:rPr>
        <w:t xml:space="preserve">Corte Europea </w:t>
      </w:r>
      <w:proofErr w:type="spellStart"/>
      <w:r w:rsidR="00582246" w:rsidRPr="00582246">
        <w:rPr>
          <w:rFonts w:ascii="Times New Roman" w:hAnsi="Times New Roman" w:cs="Times New Roman"/>
        </w:rPr>
        <w:t>dei</w:t>
      </w:r>
      <w:proofErr w:type="spellEnd"/>
      <w:r w:rsidR="00582246" w:rsidRPr="00582246">
        <w:rPr>
          <w:rFonts w:ascii="Times New Roman" w:hAnsi="Times New Roman" w:cs="Times New Roman"/>
        </w:rPr>
        <w:t xml:space="preserve"> </w:t>
      </w:r>
      <w:proofErr w:type="spellStart"/>
      <w:r w:rsidR="00582246" w:rsidRPr="00582246">
        <w:rPr>
          <w:rFonts w:ascii="Times New Roman" w:hAnsi="Times New Roman" w:cs="Times New Roman"/>
        </w:rPr>
        <w:t>Diritti</w:t>
      </w:r>
      <w:proofErr w:type="spellEnd"/>
      <w:r w:rsidR="00582246" w:rsidRPr="00582246">
        <w:rPr>
          <w:rFonts w:ascii="Times New Roman" w:hAnsi="Times New Roman" w:cs="Times New Roman"/>
        </w:rPr>
        <w:t xml:space="preserve"> </w:t>
      </w:r>
      <w:proofErr w:type="spellStart"/>
      <w:r w:rsidR="00582246" w:rsidRPr="00582246">
        <w:rPr>
          <w:rFonts w:ascii="Times New Roman" w:hAnsi="Times New Roman" w:cs="Times New Roman"/>
        </w:rPr>
        <w:t>dell'Uomo</w:t>
      </w:r>
      <w:proofErr w:type="spellEnd"/>
      <w:r w:rsidR="00582246" w:rsidRPr="00582246">
        <w:rPr>
          <w:rFonts w:ascii="Times New Roman" w:hAnsi="Times New Roman" w:cs="Times New Roman"/>
        </w:rPr>
        <w:t xml:space="preserve"> - S.V. c. Italia: </w:t>
      </w:r>
      <w:proofErr w:type="spellStart"/>
      <w:r w:rsidR="00582246" w:rsidRPr="00582246">
        <w:rPr>
          <w:rFonts w:ascii="Times New Roman" w:hAnsi="Times New Roman" w:cs="Times New Roman"/>
        </w:rPr>
        <w:t>transizione</w:t>
      </w:r>
      <w:proofErr w:type="spellEnd"/>
      <w:r w:rsidR="00582246" w:rsidRPr="00582246">
        <w:rPr>
          <w:rFonts w:ascii="Times New Roman" w:hAnsi="Times New Roman" w:cs="Times New Roman"/>
        </w:rPr>
        <w:t xml:space="preserve"> di genere</w:t>
      </w:r>
      <w:r w:rsidR="00582246">
        <w:rPr>
          <w:rFonts w:ascii="Times New Roman" w:hAnsi="Times New Roman" w:cs="Times New Roman"/>
        </w:rPr>
        <w:t xml:space="preserve">», </w:t>
      </w:r>
      <w:proofErr w:type="spellStart"/>
      <w:r w:rsidR="00582246" w:rsidRPr="00582246">
        <w:rPr>
          <w:rFonts w:ascii="Times New Roman" w:hAnsi="Times New Roman" w:cs="Times New Roman"/>
          <w:i/>
        </w:rPr>
        <w:t>BioDiritto</w:t>
      </w:r>
      <w:proofErr w:type="spellEnd"/>
      <w:r w:rsidR="00582246">
        <w:rPr>
          <w:rFonts w:ascii="Times New Roman" w:hAnsi="Times New Roman" w:cs="Times New Roman"/>
        </w:rPr>
        <w:t xml:space="preserve">, disponible en </w:t>
      </w:r>
      <w:hyperlink r:id="rId30" w:history="1">
        <w:r w:rsidR="00582246" w:rsidRPr="00DB1DE0">
          <w:rPr>
            <w:rStyle w:val="Hipervnculo"/>
            <w:rFonts w:ascii="Times New Roman" w:hAnsi="Times New Roman" w:cs="Times New Roman"/>
          </w:rPr>
          <w:t>https://www.biodiritto.org/Biolaw-pedia/Giurisprudenza/Corte-Europea-dei-Diritti-dell-Uomo-S.V.-c.-Italia-transizione-di-genere</w:t>
        </w:r>
      </w:hyperlink>
      <w:r w:rsidR="00582246">
        <w:rPr>
          <w:rFonts w:ascii="Times New Roman" w:hAnsi="Times New Roman" w:cs="Times New Roman"/>
        </w:rPr>
        <w:t xml:space="preserve">. </w:t>
      </w:r>
    </w:p>
  </w:footnote>
  <w:footnote w:id="44">
    <w:p w14:paraId="5CBE35A0" w14:textId="799F3660" w:rsidR="007B344A" w:rsidRPr="00AE78CD" w:rsidRDefault="007B344A" w:rsidP="00AE78CD">
      <w:pPr>
        <w:pStyle w:val="Textonotapie"/>
        <w:jc w:val="both"/>
        <w:rPr>
          <w:rFonts w:ascii="Times New Roman" w:hAnsi="Times New Roman" w:cs="Times New Roman"/>
        </w:rPr>
      </w:pPr>
      <w:r w:rsidRPr="00AE78CD">
        <w:rPr>
          <w:rStyle w:val="Refdenotaalpie"/>
          <w:rFonts w:ascii="Times New Roman" w:hAnsi="Times New Roman" w:cs="Times New Roman"/>
        </w:rPr>
        <w:footnoteRef/>
      </w:r>
      <w:r w:rsidRPr="00AE78CD">
        <w:rPr>
          <w:rFonts w:ascii="Times New Roman" w:hAnsi="Times New Roman" w:cs="Times New Roman"/>
        </w:rPr>
        <w:t xml:space="preserve"> </w:t>
      </w:r>
      <w:hyperlink r:id="rId31" w:anchor="{%22itemid%22:[%22001-189096%22]}" w:history="1">
        <w:r w:rsidRPr="00AE78CD">
          <w:rPr>
            <w:rStyle w:val="Hipervnculo"/>
            <w:rFonts w:ascii="Times New Roman" w:hAnsi="Times New Roman" w:cs="Times New Roman"/>
          </w:rPr>
          <w:t>https://hudoc.echr.coe.int/eng#{%22itemid%22:[%22001-189096%22]}</w:t>
        </w:r>
      </w:hyperlink>
      <w:r w:rsidRPr="00AE78CD">
        <w:rPr>
          <w:rFonts w:ascii="Times New Roman" w:hAnsi="Times New Roman" w:cs="Times New Roman"/>
        </w:rPr>
        <w:t xml:space="preserve">. </w:t>
      </w:r>
    </w:p>
  </w:footnote>
  <w:footnote w:id="45">
    <w:p w14:paraId="7B684205" w14:textId="743AFCC9" w:rsidR="007B344A" w:rsidRDefault="007B344A" w:rsidP="00AE78CD">
      <w:pPr>
        <w:pStyle w:val="Textonotapie"/>
        <w:jc w:val="both"/>
        <w:rPr>
          <w:rFonts w:ascii="Times New Roman" w:hAnsi="Times New Roman" w:cs="Times New Roman"/>
        </w:rPr>
      </w:pPr>
      <w:r w:rsidRPr="00AE78CD">
        <w:rPr>
          <w:rStyle w:val="Refdenotaalpie"/>
          <w:rFonts w:ascii="Times New Roman" w:hAnsi="Times New Roman" w:cs="Times New Roman"/>
        </w:rPr>
        <w:footnoteRef/>
      </w:r>
      <w:r w:rsidRPr="00AE78CD">
        <w:rPr>
          <w:rFonts w:ascii="Times New Roman" w:hAnsi="Times New Roman" w:cs="Times New Roman"/>
        </w:rPr>
        <w:t xml:space="preserve"> </w:t>
      </w:r>
      <w:hyperlink r:id="rId32" w:anchor="{%22itemid%22:[%22001-203898%22]}" w:history="1">
        <w:r w:rsidRPr="00AE78CD">
          <w:rPr>
            <w:rStyle w:val="Hipervnculo"/>
            <w:rFonts w:ascii="Times New Roman" w:hAnsi="Times New Roman" w:cs="Times New Roman"/>
          </w:rPr>
          <w:t>https://hudoc.echr.coe.int/eng#{%22itemid%22:[%22001-203898%22]}</w:t>
        </w:r>
      </w:hyperlink>
      <w:r w:rsidRPr="00AE78CD">
        <w:rPr>
          <w:rFonts w:ascii="Times New Roman" w:hAnsi="Times New Roman" w:cs="Times New Roman"/>
        </w:rPr>
        <w:t xml:space="preserve">. </w:t>
      </w:r>
    </w:p>
    <w:p w14:paraId="16009AF7" w14:textId="1CD212A9" w:rsidR="0009550B" w:rsidRPr="00AE78CD" w:rsidRDefault="0009550B" w:rsidP="00AE78CD">
      <w:pPr>
        <w:pStyle w:val="Textonotapie"/>
        <w:jc w:val="both"/>
        <w:rPr>
          <w:rFonts w:ascii="Times New Roman" w:hAnsi="Times New Roman" w:cs="Times New Roman"/>
        </w:rPr>
      </w:pPr>
      <w:r>
        <w:rPr>
          <w:rFonts w:ascii="Times New Roman" w:hAnsi="Times New Roman" w:cs="Times New Roman"/>
        </w:rPr>
        <w:t xml:space="preserve">Vid. O. </w:t>
      </w:r>
      <w:proofErr w:type="spellStart"/>
      <w:r w:rsidRPr="0009550B">
        <w:rPr>
          <w:rFonts w:ascii="Times New Roman" w:hAnsi="Times New Roman" w:cs="Times New Roman"/>
        </w:rPr>
        <w:t>Bouazza</w:t>
      </w:r>
      <w:proofErr w:type="spellEnd"/>
      <w:r w:rsidRPr="0009550B">
        <w:rPr>
          <w:rFonts w:ascii="Times New Roman" w:hAnsi="Times New Roman" w:cs="Times New Roman"/>
        </w:rPr>
        <w:t xml:space="preserve"> Ariño, </w:t>
      </w:r>
      <w:r>
        <w:rPr>
          <w:rFonts w:ascii="Times New Roman" w:hAnsi="Times New Roman" w:cs="Times New Roman"/>
        </w:rPr>
        <w:t>«</w:t>
      </w:r>
      <w:r w:rsidRPr="0009550B">
        <w:rPr>
          <w:rFonts w:ascii="Times New Roman" w:hAnsi="Times New Roman" w:cs="Times New Roman"/>
        </w:rPr>
        <w:t>Notas de jurisprudencia del Tribunal Europeo de Derechos Humanos</w:t>
      </w:r>
      <w:r>
        <w:rPr>
          <w:rFonts w:ascii="Times New Roman" w:hAnsi="Times New Roman" w:cs="Times New Roman"/>
        </w:rPr>
        <w:t>»,</w:t>
      </w:r>
      <w:r w:rsidRPr="0009550B">
        <w:rPr>
          <w:rFonts w:ascii="Times New Roman" w:hAnsi="Times New Roman" w:cs="Times New Roman"/>
        </w:rPr>
        <w:t xml:space="preserve"> </w:t>
      </w:r>
      <w:r w:rsidRPr="0009550B">
        <w:rPr>
          <w:rFonts w:ascii="Times New Roman" w:hAnsi="Times New Roman" w:cs="Times New Roman"/>
          <w:i/>
        </w:rPr>
        <w:t>Revista de Administración Pública</w:t>
      </w:r>
      <w:r w:rsidRPr="0009550B">
        <w:rPr>
          <w:rFonts w:ascii="Times New Roman" w:hAnsi="Times New Roman" w:cs="Times New Roman"/>
        </w:rPr>
        <w:t xml:space="preserve">, </w:t>
      </w:r>
      <w:r>
        <w:rPr>
          <w:rFonts w:ascii="Times New Roman" w:hAnsi="Times New Roman" w:cs="Times New Roman"/>
        </w:rPr>
        <w:t xml:space="preserve">n. </w:t>
      </w:r>
      <w:r w:rsidRPr="0009550B">
        <w:rPr>
          <w:rFonts w:ascii="Times New Roman" w:hAnsi="Times New Roman" w:cs="Times New Roman"/>
        </w:rPr>
        <w:t>213, 2020</w:t>
      </w:r>
      <w:r>
        <w:rPr>
          <w:rFonts w:ascii="Times New Roman" w:hAnsi="Times New Roman" w:cs="Times New Roman"/>
        </w:rPr>
        <w:t>, (pp.</w:t>
      </w:r>
      <w:r w:rsidRPr="0009550B">
        <w:rPr>
          <w:rFonts w:ascii="Times New Roman" w:hAnsi="Times New Roman" w:cs="Times New Roman"/>
        </w:rPr>
        <w:t xml:space="preserve"> 317-330</w:t>
      </w:r>
      <w:r>
        <w:rPr>
          <w:rFonts w:ascii="Times New Roman" w:hAnsi="Times New Roman" w:cs="Times New Roman"/>
        </w:rPr>
        <w:t xml:space="preserve">), p. 238. </w:t>
      </w:r>
    </w:p>
  </w:footnote>
  <w:footnote w:id="46">
    <w:p w14:paraId="56615B3A" w14:textId="004D53B3" w:rsidR="007B344A" w:rsidRPr="008B4B34" w:rsidRDefault="007B344A" w:rsidP="00AE78CD">
      <w:pPr>
        <w:pStyle w:val="Textonotapie"/>
        <w:jc w:val="both"/>
        <w:rPr>
          <w:rFonts w:ascii="Times New Roman" w:hAnsi="Times New Roman" w:cs="Times New Roman"/>
          <w:lang w:val="en-US"/>
        </w:rPr>
      </w:pPr>
      <w:r w:rsidRPr="00AE78CD">
        <w:rPr>
          <w:rStyle w:val="Refdenotaalpie"/>
          <w:rFonts w:ascii="Times New Roman" w:hAnsi="Times New Roman" w:cs="Times New Roman"/>
        </w:rPr>
        <w:footnoteRef/>
      </w:r>
      <w:r w:rsidRPr="00AE78CD">
        <w:rPr>
          <w:rFonts w:ascii="Times New Roman" w:hAnsi="Times New Roman" w:cs="Times New Roman"/>
        </w:rPr>
        <w:t xml:space="preserve"> </w:t>
      </w:r>
      <w:hyperlink r:id="rId33" w:anchor="{%22tabview%22:[%22document%22],%22itemid%22:[%22001-207364%22]}" w:history="1">
        <w:r w:rsidRPr="00AE78CD">
          <w:rPr>
            <w:rStyle w:val="Hipervnculo"/>
            <w:rFonts w:ascii="Times New Roman" w:hAnsi="Times New Roman" w:cs="Times New Roman"/>
          </w:rPr>
          <w:t>https://hudoc.echr.coe.int/spa#{%22tabview%22:[%22document%22],%22itemid%22:[%22001-207364%22]}</w:t>
        </w:r>
      </w:hyperlink>
      <w:r w:rsidRPr="00AE78CD">
        <w:rPr>
          <w:rFonts w:ascii="Times New Roman" w:hAnsi="Times New Roman" w:cs="Times New Roman"/>
        </w:rPr>
        <w:t xml:space="preserve">. </w:t>
      </w:r>
      <w:proofErr w:type="spellStart"/>
      <w:r w:rsidR="008B4B34" w:rsidRPr="008B4B34">
        <w:rPr>
          <w:rFonts w:ascii="Times New Roman" w:hAnsi="Times New Roman" w:cs="Times New Roman"/>
          <w:lang w:val="en-US"/>
        </w:rPr>
        <w:t>En</w:t>
      </w:r>
      <w:proofErr w:type="spellEnd"/>
      <w:r w:rsidR="008B4B34" w:rsidRPr="008B4B34">
        <w:rPr>
          <w:rFonts w:ascii="Times New Roman" w:hAnsi="Times New Roman" w:cs="Times New Roman"/>
          <w:lang w:val="en-US"/>
        </w:rPr>
        <w:t xml:space="preserve"> </w:t>
      </w:r>
      <w:proofErr w:type="spellStart"/>
      <w:r w:rsidR="008B4B34" w:rsidRPr="008B4B34">
        <w:rPr>
          <w:rFonts w:ascii="Times New Roman" w:hAnsi="Times New Roman" w:cs="Times New Roman"/>
          <w:lang w:val="en-US"/>
        </w:rPr>
        <w:t>doctrina</w:t>
      </w:r>
      <w:proofErr w:type="spellEnd"/>
      <w:r w:rsidR="008B4B34" w:rsidRPr="008B4B34">
        <w:rPr>
          <w:rFonts w:ascii="Times New Roman" w:hAnsi="Times New Roman" w:cs="Times New Roman"/>
          <w:lang w:val="en-US"/>
        </w:rPr>
        <w:t xml:space="preserve">, vid. S. SCHOENTJES, </w:t>
      </w:r>
      <w:r w:rsidR="008B4B34">
        <w:rPr>
          <w:rFonts w:ascii="Times New Roman" w:hAnsi="Times New Roman" w:cs="Times New Roman"/>
          <w:lang w:val="en-US"/>
        </w:rPr>
        <w:t>«</w:t>
      </w:r>
      <w:r w:rsidR="008B4B34" w:rsidRPr="008B4B34">
        <w:rPr>
          <w:rFonts w:ascii="Times New Roman" w:hAnsi="Times New Roman" w:cs="Times New Roman"/>
          <w:lang w:val="en-US"/>
        </w:rPr>
        <w:t xml:space="preserve">X and </w:t>
      </w:r>
      <w:r w:rsidR="008B4B34">
        <w:rPr>
          <w:rFonts w:ascii="Times New Roman" w:hAnsi="Times New Roman" w:cs="Times New Roman"/>
          <w:lang w:val="en-US"/>
        </w:rPr>
        <w:t>Y</w:t>
      </w:r>
      <w:r w:rsidR="008B4B34" w:rsidRPr="008B4B34">
        <w:rPr>
          <w:rFonts w:ascii="Times New Roman" w:hAnsi="Times New Roman" w:cs="Times New Roman"/>
          <w:lang w:val="en-US"/>
        </w:rPr>
        <w:t xml:space="preserve"> v. </w:t>
      </w:r>
      <w:r w:rsidR="008B4B34">
        <w:rPr>
          <w:rFonts w:ascii="Times New Roman" w:hAnsi="Times New Roman" w:cs="Times New Roman"/>
          <w:lang w:val="en-US"/>
        </w:rPr>
        <w:t>R</w:t>
      </w:r>
      <w:r w:rsidR="008B4B34" w:rsidRPr="008B4B34">
        <w:rPr>
          <w:rFonts w:ascii="Times New Roman" w:hAnsi="Times New Roman" w:cs="Times New Roman"/>
          <w:lang w:val="en-US"/>
        </w:rPr>
        <w:t>omania: the ‘impossible dilemma’ reasoning applied to gender affirming surgery as a requirement for gender recognition</w:t>
      </w:r>
      <w:r w:rsidR="008B4B34">
        <w:rPr>
          <w:rFonts w:ascii="Times New Roman" w:hAnsi="Times New Roman" w:cs="Times New Roman"/>
          <w:lang w:val="en-US"/>
        </w:rPr>
        <w:t xml:space="preserve">», </w:t>
      </w:r>
      <w:r w:rsidR="00423BC1" w:rsidRPr="00423BC1">
        <w:rPr>
          <w:rFonts w:ascii="Times New Roman" w:hAnsi="Times New Roman" w:cs="Times New Roman"/>
          <w:i/>
          <w:lang w:val="en-US"/>
        </w:rPr>
        <w:t>Strasbourg Observers</w:t>
      </w:r>
      <w:r w:rsidR="00423BC1" w:rsidRPr="00423BC1">
        <w:rPr>
          <w:rFonts w:ascii="Times New Roman" w:hAnsi="Times New Roman" w:cs="Times New Roman"/>
          <w:lang w:val="en-US"/>
        </w:rPr>
        <w:t xml:space="preserve">, </w:t>
      </w:r>
      <w:r w:rsidR="0018420C">
        <w:rPr>
          <w:rFonts w:ascii="Times New Roman" w:hAnsi="Times New Roman" w:cs="Times New Roman"/>
          <w:lang w:val="en-US"/>
        </w:rPr>
        <w:t xml:space="preserve">2021, disponible </w:t>
      </w:r>
      <w:proofErr w:type="spellStart"/>
      <w:r w:rsidR="0018420C">
        <w:rPr>
          <w:rFonts w:ascii="Times New Roman" w:hAnsi="Times New Roman" w:cs="Times New Roman"/>
          <w:lang w:val="en-US"/>
        </w:rPr>
        <w:t>en</w:t>
      </w:r>
      <w:proofErr w:type="spellEnd"/>
      <w:r w:rsidR="0018420C">
        <w:rPr>
          <w:rFonts w:ascii="Times New Roman" w:hAnsi="Times New Roman" w:cs="Times New Roman"/>
          <w:lang w:val="en-US"/>
        </w:rPr>
        <w:t xml:space="preserve"> </w:t>
      </w:r>
      <w:r w:rsidR="00C16147">
        <w:fldChar w:fldCharType="begin"/>
      </w:r>
      <w:r w:rsidR="00C16147" w:rsidRPr="001B12B4">
        <w:rPr>
          <w:lang w:val="en-US"/>
        </w:rPr>
        <w:instrText xml:space="preserve"> HYPERLINK "https://strasbourgobservers.com/2021/02/25/x-and-y-v-romania-the-impossible-dilemma-reasoning-applied-to-gender-affirming-surgery-as-a-requirement-for-gender-recognition/" </w:instrText>
      </w:r>
      <w:r w:rsidR="00C16147">
        <w:fldChar w:fldCharType="separate"/>
      </w:r>
      <w:r w:rsidR="0018420C" w:rsidRPr="00DB1DE0">
        <w:rPr>
          <w:rStyle w:val="Hipervnculo"/>
          <w:rFonts w:ascii="Times New Roman" w:hAnsi="Times New Roman" w:cs="Times New Roman"/>
          <w:lang w:val="en-US"/>
        </w:rPr>
        <w:t>https://strasbourgobservers.com/2021/02/25/x-and-y-v-romania-the-impossible-dilemma-reasoning-applied-to-gender-affirming-surgery-as-a-requirement-for-gender-recognition/</w:t>
      </w:r>
      <w:r w:rsidR="00C16147">
        <w:rPr>
          <w:rStyle w:val="Hipervnculo"/>
          <w:rFonts w:ascii="Times New Roman" w:hAnsi="Times New Roman" w:cs="Times New Roman"/>
          <w:lang w:val="en-US"/>
        </w:rPr>
        <w:fldChar w:fldCharType="end"/>
      </w:r>
      <w:r w:rsidR="0018420C">
        <w:rPr>
          <w:rFonts w:ascii="Times New Roman" w:hAnsi="Times New Roman" w:cs="Times New Roman"/>
          <w:lang w:val="en-US"/>
        </w:rPr>
        <w:t xml:space="preserve">. </w:t>
      </w:r>
    </w:p>
  </w:footnote>
  <w:footnote w:id="47">
    <w:p w14:paraId="31F64CD7" w14:textId="677B205A" w:rsidR="007B344A" w:rsidRPr="00AE78CD" w:rsidRDefault="007B344A" w:rsidP="00AE78CD">
      <w:pPr>
        <w:pStyle w:val="Textonotapie"/>
        <w:jc w:val="both"/>
        <w:rPr>
          <w:rFonts w:ascii="Times New Roman" w:hAnsi="Times New Roman" w:cs="Times New Roman"/>
        </w:rPr>
      </w:pPr>
      <w:r w:rsidRPr="00AE78CD">
        <w:rPr>
          <w:rStyle w:val="Refdenotaalpie"/>
          <w:rFonts w:ascii="Times New Roman" w:hAnsi="Times New Roman" w:cs="Times New Roman"/>
        </w:rPr>
        <w:footnoteRef/>
      </w:r>
      <w:r w:rsidRPr="00AE78CD">
        <w:rPr>
          <w:rFonts w:ascii="Times New Roman" w:hAnsi="Times New Roman" w:cs="Times New Roman"/>
        </w:rPr>
        <w:t xml:space="preserve"> En esta línea, el TEDH aludió en el apartado 166 a que el número de países que requieren la cirugía de reasignación de género como requisito previo para el reconocimiento legal de la identidad de género está disminuyendo constantemente; en 2020 veintiséis Estados miembros del Consejo de Europa ya no requerían cirugía para la reasignación de género.</w:t>
      </w:r>
    </w:p>
  </w:footnote>
  <w:footnote w:id="48">
    <w:p w14:paraId="3B0A72F9" w14:textId="425F432F" w:rsidR="007B344A" w:rsidRPr="00AE78CD" w:rsidRDefault="007B344A" w:rsidP="00AE78CD">
      <w:pPr>
        <w:pStyle w:val="Textonotapie"/>
        <w:jc w:val="both"/>
        <w:rPr>
          <w:rFonts w:ascii="Times New Roman" w:hAnsi="Times New Roman" w:cs="Times New Roman"/>
          <w:lang w:val="it-IT"/>
        </w:rPr>
      </w:pPr>
      <w:r w:rsidRPr="00AE78CD">
        <w:rPr>
          <w:rStyle w:val="Refdenotaalpie"/>
          <w:rFonts w:ascii="Times New Roman" w:hAnsi="Times New Roman" w:cs="Times New Roman"/>
        </w:rPr>
        <w:footnoteRef/>
      </w:r>
      <w:r w:rsidRPr="00AE78CD">
        <w:rPr>
          <w:rFonts w:ascii="Times New Roman" w:hAnsi="Times New Roman" w:cs="Times New Roman"/>
          <w:lang w:val="it-IT"/>
        </w:rPr>
        <w:t xml:space="preserve"> </w:t>
      </w:r>
      <w:proofErr w:type="spellStart"/>
      <w:r w:rsidRPr="00AE78CD">
        <w:rPr>
          <w:rFonts w:ascii="Times New Roman" w:hAnsi="Times New Roman" w:cs="Times New Roman"/>
          <w:lang w:val="it-IT"/>
        </w:rPr>
        <w:t>Vid</w:t>
      </w:r>
      <w:proofErr w:type="spellEnd"/>
      <w:r w:rsidRPr="00AE78CD">
        <w:rPr>
          <w:rFonts w:ascii="Times New Roman" w:hAnsi="Times New Roman" w:cs="Times New Roman"/>
          <w:lang w:val="it-IT"/>
        </w:rPr>
        <w:t xml:space="preserve">. S. ROMBOLI, «El </w:t>
      </w:r>
      <w:proofErr w:type="spellStart"/>
      <w:r w:rsidRPr="00AE78CD">
        <w:rPr>
          <w:rFonts w:ascii="Times New Roman" w:hAnsi="Times New Roman" w:cs="Times New Roman"/>
          <w:lang w:val="it-IT"/>
        </w:rPr>
        <w:t>Tribunal</w:t>
      </w:r>
      <w:proofErr w:type="spellEnd"/>
      <w:r w:rsidRPr="00AE78CD">
        <w:rPr>
          <w:rFonts w:ascii="Times New Roman" w:hAnsi="Times New Roman" w:cs="Times New Roman"/>
          <w:lang w:val="it-IT"/>
        </w:rPr>
        <w:t xml:space="preserve"> Europeo </w:t>
      </w:r>
      <w:proofErr w:type="spellStart"/>
      <w:r w:rsidRPr="00AE78CD">
        <w:rPr>
          <w:rFonts w:ascii="Times New Roman" w:hAnsi="Times New Roman" w:cs="Times New Roman"/>
          <w:lang w:val="it-IT"/>
        </w:rPr>
        <w:t>vuelve</w:t>
      </w:r>
      <w:proofErr w:type="spellEnd"/>
      <w:r w:rsidRPr="00AE78CD">
        <w:rPr>
          <w:rFonts w:ascii="Times New Roman" w:hAnsi="Times New Roman" w:cs="Times New Roman"/>
          <w:lang w:val="it-IT"/>
        </w:rPr>
        <w:t xml:space="preserve"> a </w:t>
      </w:r>
      <w:proofErr w:type="spellStart"/>
      <w:r w:rsidRPr="00AE78CD">
        <w:rPr>
          <w:rFonts w:ascii="Times New Roman" w:hAnsi="Times New Roman" w:cs="Times New Roman"/>
          <w:lang w:val="it-IT"/>
        </w:rPr>
        <w:t>recorrer</w:t>
      </w:r>
      <w:proofErr w:type="spellEnd"/>
      <w:r w:rsidRPr="00AE78CD">
        <w:rPr>
          <w:rFonts w:ascii="Times New Roman" w:hAnsi="Times New Roman" w:cs="Times New Roman"/>
          <w:lang w:val="it-IT"/>
        </w:rPr>
        <w:t xml:space="preserve"> </w:t>
      </w:r>
      <w:proofErr w:type="spellStart"/>
      <w:r w:rsidRPr="00AE78CD">
        <w:rPr>
          <w:rFonts w:ascii="Times New Roman" w:hAnsi="Times New Roman" w:cs="Times New Roman"/>
          <w:lang w:val="it-IT"/>
        </w:rPr>
        <w:t>el</w:t>
      </w:r>
      <w:proofErr w:type="spellEnd"/>
      <w:r w:rsidRPr="00AE78CD">
        <w:rPr>
          <w:rFonts w:ascii="Times New Roman" w:hAnsi="Times New Roman" w:cs="Times New Roman"/>
          <w:lang w:val="it-IT"/>
        </w:rPr>
        <w:t xml:space="preserve"> camino en la </w:t>
      </w:r>
      <w:proofErr w:type="spellStart"/>
      <w:r w:rsidRPr="00AE78CD">
        <w:rPr>
          <w:rFonts w:ascii="Times New Roman" w:hAnsi="Times New Roman" w:cs="Times New Roman"/>
          <w:lang w:val="it-IT"/>
        </w:rPr>
        <w:t>dirección</w:t>
      </w:r>
      <w:proofErr w:type="spellEnd"/>
      <w:r w:rsidRPr="00AE78CD">
        <w:rPr>
          <w:rFonts w:ascii="Times New Roman" w:hAnsi="Times New Roman" w:cs="Times New Roman"/>
          <w:lang w:val="it-IT"/>
        </w:rPr>
        <w:t xml:space="preserve"> de una </w:t>
      </w:r>
      <w:proofErr w:type="spellStart"/>
      <w:r w:rsidRPr="00AE78CD">
        <w:rPr>
          <w:rFonts w:ascii="Times New Roman" w:hAnsi="Times New Roman" w:cs="Times New Roman"/>
          <w:lang w:val="it-IT"/>
        </w:rPr>
        <w:t>efectiva</w:t>
      </w:r>
      <w:proofErr w:type="spellEnd"/>
      <w:r w:rsidRPr="00AE78CD">
        <w:rPr>
          <w:rFonts w:ascii="Times New Roman" w:hAnsi="Times New Roman" w:cs="Times New Roman"/>
          <w:lang w:val="it-IT"/>
        </w:rPr>
        <w:t xml:space="preserve"> </w:t>
      </w:r>
      <w:proofErr w:type="spellStart"/>
      <w:r w:rsidRPr="00AE78CD">
        <w:rPr>
          <w:rFonts w:ascii="Times New Roman" w:hAnsi="Times New Roman" w:cs="Times New Roman"/>
          <w:lang w:val="it-IT"/>
        </w:rPr>
        <w:t>protección</w:t>
      </w:r>
      <w:proofErr w:type="spellEnd"/>
      <w:r w:rsidRPr="00AE78CD">
        <w:rPr>
          <w:rFonts w:ascii="Times New Roman" w:hAnsi="Times New Roman" w:cs="Times New Roman"/>
          <w:lang w:val="it-IT"/>
        </w:rPr>
        <w:t xml:space="preserve"> de la </w:t>
      </w:r>
      <w:proofErr w:type="spellStart"/>
      <w:r w:rsidRPr="00AE78CD">
        <w:rPr>
          <w:rFonts w:ascii="Times New Roman" w:hAnsi="Times New Roman" w:cs="Times New Roman"/>
          <w:lang w:val="it-IT"/>
        </w:rPr>
        <w:t>identidad</w:t>
      </w:r>
      <w:proofErr w:type="spellEnd"/>
      <w:r w:rsidRPr="00AE78CD">
        <w:rPr>
          <w:rFonts w:ascii="Times New Roman" w:hAnsi="Times New Roman" w:cs="Times New Roman"/>
          <w:lang w:val="it-IT"/>
        </w:rPr>
        <w:t xml:space="preserve"> sexual», </w:t>
      </w:r>
      <w:proofErr w:type="spellStart"/>
      <w:r w:rsidRPr="00AE78CD">
        <w:rPr>
          <w:rFonts w:ascii="Times New Roman" w:hAnsi="Times New Roman" w:cs="Times New Roman"/>
          <w:lang w:val="it-IT"/>
        </w:rPr>
        <w:t>Entrada</w:t>
      </w:r>
      <w:proofErr w:type="spellEnd"/>
      <w:r w:rsidRPr="00AE78CD">
        <w:rPr>
          <w:rFonts w:ascii="Times New Roman" w:hAnsi="Times New Roman" w:cs="Times New Roman"/>
          <w:lang w:val="it-IT"/>
        </w:rPr>
        <w:t xml:space="preserve"> de blog, </w:t>
      </w:r>
      <w:proofErr w:type="spellStart"/>
      <w:r w:rsidRPr="00AE78CD">
        <w:rPr>
          <w:rFonts w:ascii="Times New Roman" w:hAnsi="Times New Roman" w:cs="Times New Roman"/>
          <w:lang w:val="it-IT"/>
        </w:rPr>
        <w:t>IberICONnect</w:t>
      </w:r>
      <w:proofErr w:type="spellEnd"/>
      <w:r w:rsidRPr="00AE78CD">
        <w:rPr>
          <w:rFonts w:ascii="Times New Roman" w:hAnsi="Times New Roman" w:cs="Times New Roman"/>
          <w:lang w:val="it-IT"/>
        </w:rPr>
        <w:t xml:space="preserve">, 26 de </w:t>
      </w:r>
      <w:proofErr w:type="spellStart"/>
      <w:r w:rsidRPr="00AE78CD">
        <w:rPr>
          <w:rFonts w:ascii="Times New Roman" w:hAnsi="Times New Roman" w:cs="Times New Roman"/>
          <w:lang w:val="it-IT"/>
        </w:rPr>
        <w:t>abril</w:t>
      </w:r>
      <w:proofErr w:type="spellEnd"/>
      <w:r w:rsidRPr="00AE78CD">
        <w:rPr>
          <w:rFonts w:ascii="Times New Roman" w:hAnsi="Times New Roman" w:cs="Times New Roman"/>
          <w:lang w:val="it-IT"/>
        </w:rPr>
        <w:t xml:space="preserve"> de 2021, </w:t>
      </w:r>
      <w:proofErr w:type="spellStart"/>
      <w:r w:rsidRPr="00AE78CD">
        <w:rPr>
          <w:rFonts w:ascii="Times New Roman" w:hAnsi="Times New Roman" w:cs="Times New Roman"/>
          <w:lang w:val="it-IT"/>
        </w:rPr>
        <w:t>disponible</w:t>
      </w:r>
      <w:proofErr w:type="spellEnd"/>
      <w:r w:rsidRPr="00AE78CD">
        <w:rPr>
          <w:rFonts w:ascii="Times New Roman" w:hAnsi="Times New Roman" w:cs="Times New Roman"/>
          <w:lang w:val="it-IT"/>
        </w:rPr>
        <w:t xml:space="preserve"> en </w:t>
      </w:r>
      <w:hyperlink r:id="rId34" w:history="1">
        <w:r w:rsidRPr="00AE78CD">
          <w:rPr>
            <w:rStyle w:val="Hipervnculo"/>
            <w:rFonts w:ascii="Times New Roman" w:hAnsi="Times New Roman" w:cs="Times New Roman"/>
            <w:lang w:val="it-IT"/>
          </w:rPr>
          <w:t>https://www.ibericonnect.blog/2021/04/el-tribunal-europeo-vuelve-a-recorrer-el-camino-en-la-direccion-de-una-efectiva-proteccion-de-la-identidad-sexual/</w:t>
        </w:r>
      </w:hyperlink>
      <w:r w:rsidRPr="00AE78CD">
        <w:rPr>
          <w:rFonts w:ascii="Times New Roman" w:hAnsi="Times New Roman" w:cs="Times New Roman"/>
          <w:lang w:val="it-IT"/>
        </w:rPr>
        <w:t xml:space="preserve">. </w:t>
      </w:r>
    </w:p>
  </w:footnote>
  <w:footnote w:id="49">
    <w:p w14:paraId="22126468" w14:textId="5453485E" w:rsidR="007B344A" w:rsidRPr="00AE78CD" w:rsidRDefault="007B344A" w:rsidP="00AE78CD">
      <w:pPr>
        <w:pStyle w:val="Textonotapie"/>
        <w:jc w:val="both"/>
        <w:rPr>
          <w:rFonts w:ascii="Times New Roman" w:hAnsi="Times New Roman" w:cs="Times New Roman"/>
        </w:rPr>
      </w:pPr>
      <w:r w:rsidRPr="00AE78CD">
        <w:rPr>
          <w:rStyle w:val="Refdenotaalpie"/>
          <w:rFonts w:ascii="Times New Roman" w:hAnsi="Times New Roman" w:cs="Times New Roman"/>
        </w:rPr>
        <w:footnoteRef/>
      </w:r>
      <w:r w:rsidRPr="00AE78CD">
        <w:rPr>
          <w:rFonts w:ascii="Times New Roman" w:hAnsi="Times New Roman" w:cs="Times New Roman"/>
        </w:rPr>
        <w:t xml:space="preserve"> Además, ya critiqué las afirmaciones poco contundentes y “formalistas” del TEDH, porque podrían generar un espacio en el que, en el futuro, un Estado </w:t>
      </w:r>
      <w:proofErr w:type="gramStart"/>
      <w:r w:rsidRPr="00AE78CD">
        <w:rPr>
          <w:rFonts w:ascii="Times New Roman" w:hAnsi="Times New Roman" w:cs="Times New Roman"/>
        </w:rPr>
        <w:t>justifique</w:t>
      </w:r>
      <w:proofErr w:type="gramEnd"/>
      <w:r w:rsidRPr="00AE78CD">
        <w:rPr>
          <w:rFonts w:ascii="Times New Roman" w:hAnsi="Times New Roman" w:cs="Times New Roman"/>
        </w:rPr>
        <w:t xml:space="preserve"> adecuadamente las razones de interés general que justifican la necesidad de realizar una cirugía de reasignación del sexo antes del cambio administrativo de identidad sexual, vid. </w:t>
      </w:r>
      <w:r w:rsidRPr="00AE78CD">
        <w:rPr>
          <w:rFonts w:ascii="Times New Roman" w:hAnsi="Times New Roman" w:cs="Times New Roman"/>
          <w:lang w:val="it-IT"/>
        </w:rPr>
        <w:t xml:space="preserve">S. ROMBOLI, «El </w:t>
      </w:r>
      <w:proofErr w:type="spellStart"/>
      <w:r w:rsidRPr="00AE78CD">
        <w:rPr>
          <w:rFonts w:ascii="Times New Roman" w:hAnsi="Times New Roman" w:cs="Times New Roman"/>
          <w:lang w:val="it-IT"/>
        </w:rPr>
        <w:t>Tribunal</w:t>
      </w:r>
      <w:proofErr w:type="spellEnd"/>
      <w:r w:rsidRPr="00AE78CD">
        <w:rPr>
          <w:rFonts w:ascii="Times New Roman" w:hAnsi="Times New Roman" w:cs="Times New Roman"/>
          <w:lang w:val="it-IT"/>
        </w:rPr>
        <w:t xml:space="preserve"> Europeo </w:t>
      </w:r>
      <w:proofErr w:type="spellStart"/>
      <w:r w:rsidRPr="00AE78CD">
        <w:rPr>
          <w:rFonts w:ascii="Times New Roman" w:hAnsi="Times New Roman" w:cs="Times New Roman"/>
          <w:lang w:val="it-IT"/>
        </w:rPr>
        <w:t>vuelve</w:t>
      </w:r>
      <w:proofErr w:type="spellEnd"/>
      <w:r w:rsidRPr="00AE78CD">
        <w:rPr>
          <w:rFonts w:ascii="Times New Roman" w:hAnsi="Times New Roman" w:cs="Times New Roman"/>
          <w:lang w:val="it-IT"/>
        </w:rPr>
        <w:t xml:space="preserve"> a </w:t>
      </w:r>
      <w:proofErr w:type="spellStart"/>
      <w:r w:rsidRPr="00AE78CD">
        <w:rPr>
          <w:rFonts w:ascii="Times New Roman" w:hAnsi="Times New Roman" w:cs="Times New Roman"/>
          <w:lang w:val="it-IT"/>
        </w:rPr>
        <w:t>recorrer</w:t>
      </w:r>
      <w:proofErr w:type="spellEnd"/>
      <w:r w:rsidRPr="00AE78CD">
        <w:rPr>
          <w:rFonts w:ascii="Times New Roman" w:hAnsi="Times New Roman" w:cs="Times New Roman"/>
          <w:lang w:val="it-IT"/>
        </w:rPr>
        <w:t xml:space="preserve"> </w:t>
      </w:r>
      <w:proofErr w:type="spellStart"/>
      <w:r w:rsidRPr="00AE78CD">
        <w:rPr>
          <w:rFonts w:ascii="Times New Roman" w:hAnsi="Times New Roman" w:cs="Times New Roman"/>
          <w:lang w:val="it-IT"/>
        </w:rPr>
        <w:t>el</w:t>
      </w:r>
      <w:proofErr w:type="spellEnd"/>
      <w:r w:rsidRPr="00AE78CD">
        <w:rPr>
          <w:rFonts w:ascii="Times New Roman" w:hAnsi="Times New Roman" w:cs="Times New Roman"/>
          <w:lang w:val="it-IT"/>
        </w:rPr>
        <w:t xml:space="preserve"> camino en la </w:t>
      </w:r>
      <w:proofErr w:type="spellStart"/>
      <w:r w:rsidRPr="00AE78CD">
        <w:rPr>
          <w:rFonts w:ascii="Times New Roman" w:hAnsi="Times New Roman" w:cs="Times New Roman"/>
          <w:lang w:val="it-IT"/>
        </w:rPr>
        <w:t>dirección</w:t>
      </w:r>
      <w:proofErr w:type="spellEnd"/>
      <w:r w:rsidRPr="00AE78CD">
        <w:rPr>
          <w:rFonts w:ascii="Times New Roman" w:hAnsi="Times New Roman" w:cs="Times New Roman"/>
          <w:lang w:val="it-IT"/>
        </w:rPr>
        <w:t xml:space="preserve"> de una </w:t>
      </w:r>
      <w:proofErr w:type="spellStart"/>
      <w:r w:rsidRPr="00AE78CD">
        <w:rPr>
          <w:rFonts w:ascii="Times New Roman" w:hAnsi="Times New Roman" w:cs="Times New Roman"/>
          <w:lang w:val="it-IT"/>
        </w:rPr>
        <w:t>efectiva</w:t>
      </w:r>
      <w:proofErr w:type="spellEnd"/>
      <w:r w:rsidRPr="00AE78CD">
        <w:rPr>
          <w:rFonts w:ascii="Times New Roman" w:hAnsi="Times New Roman" w:cs="Times New Roman"/>
          <w:lang w:val="it-IT"/>
        </w:rPr>
        <w:t xml:space="preserve"> </w:t>
      </w:r>
      <w:proofErr w:type="spellStart"/>
      <w:r w:rsidRPr="00AE78CD">
        <w:rPr>
          <w:rFonts w:ascii="Times New Roman" w:hAnsi="Times New Roman" w:cs="Times New Roman"/>
          <w:lang w:val="it-IT"/>
        </w:rPr>
        <w:t>protección</w:t>
      </w:r>
      <w:proofErr w:type="spellEnd"/>
      <w:r w:rsidRPr="00AE78CD">
        <w:rPr>
          <w:rFonts w:ascii="Times New Roman" w:hAnsi="Times New Roman" w:cs="Times New Roman"/>
          <w:lang w:val="it-IT"/>
        </w:rPr>
        <w:t xml:space="preserve"> de la </w:t>
      </w:r>
      <w:proofErr w:type="spellStart"/>
      <w:r w:rsidRPr="00AE78CD">
        <w:rPr>
          <w:rFonts w:ascii="Times New Roman" w:hAnsi="Times New Roman" w:cs="Times New Roman"/>
          <w:lang w:val="it-IT"/>
        </w:rPr>
        <w:t>identidad</w:t>
      </w:r>
      <w:proofErr w:type="spellEnd"/>
      <w:r w:rsidRPr="00AE78CD">
        <w:rPr>
          <w:rFonts w:ascii="Times New Roman" w:hAnsi="Times New Roman" w:cs="Times New Roman"/>
          <w:lang w:val="it-IT"/>
        </w:rPr>
        <w:t xml:space="preserve"> sexual», op. cit. </w:t>
      </w:r>
    </w:p>
  </w:footnote>
  <w:footnote w:id="50">
    <w:p w14:paraId="75720DCE" w14:textId="76C1582C" w:rsidR="007B344A" w:rsidRPr="00AE78CD" w:rsidRDefault="007B344A" w:rsidP="00AE78CD">
      <w:pPr>
        <w:pStyle w:val="Textonotapie"/>
        <w:jc w:val="both"/>
        <w:rPr>
          <w:rFonts w:ascii="Times New Roman" w:hAnsi="Times New Roman" w:cs="Times New Roman"/>
        </w:rPr>
      </w:pPr>
      <w:r w:rsidRPr="00AE78CD">
        <w:rPr>
          <w:rStyle w:val="Refdenotaalpie"/>
          <w:rFonts w:ascii="Times New Roman" w:hAnsi="Times New Roman" w:cs="Times New Roman"/>
        </w:rPr>
        <w:footnoteRef/>
      </w:r>
      <w:r w:rsidRPr="00AE78CD">
        <w:rPr>
          <w:rFonts w:ascii="Times New Roman" w:hAnsi="Times New Roman" w:cs="Times New Roman"/>
        </w:rPr>
        <w:t xml:space="preserve"> Vid. S. ROMBOLI, «El derecho a la identidad sexual en la interpretación del Tribunal Europeo de Derechos Humanos, entre margen de apreciación nacional y creación de normas comunes», </w:t>
      </w:r>
      <w:proofErr w:type="spellStart"/>
      <w:r w:rsidRPr="00AE78CD">
        <w:rPr>
          <w:rFonts w:ascii="Times New Roman" w:hAnsi="Times New Roman" w:cs="Times New Roman"/>
        </w:rPr>
        <w:t>op</w:t>
      </w:r>
      <w:proofErr w:type="spellEnd"/>
      <w:r w:rsidRPr="00AE78CD">
        <w:rPr>
          <w:rFonts w:ascii="Times New Roman" w:hAnsi="Times New Roman" w:cs="Times New Roman"/>
        </w:rPr>
        <w:t>. cit.; S. ROMBOLI, «</w:t>
      </w:r>
      <w:proofErr w:type="spellStart"/>
      <w:r w:rsidRPr="00AE78CD">
        <w:rPr>
          <w:rFonts w:ascii="Times New Roman" w:hAnsi="Times New Roman" w:cs="Times New Roman"/>
        </w:rPr>
        <w:t>The</w:t>
      </w:r>
      <w:proofErr w:type="spellEnd"/>
      <w:r w:rsidRPr="00AE78CD">
        <w:rPr>
          <w:rFonts w:ascii="Times New Roman" w:hAnsi="Times New Roman" w:cs="Times New Roman"/>
        </w:rPr>
        <w:t xml:space="preserve"> </w:t>
      </w:r>
      <w:proofErr w:type="spellStart"/>
      <w:r w:rsidRPr="00AE78CD">
        <w:rPr>
          <w:rFonts w:ascii="Times New Roman" w:hAnsi="Times New Roman" w:cs="Times New Roman"/>
        </w:rPr>
        <w:t>standards</w:t>
      </w:r>
      <w:proofErr w:type="spellEnd"/>
      <w:r w:rsidRPr="00AE78CD">
        <w:rPr>
          <w:rFonts w:ascii="Times New Roman" w:hAnsi="Times New Roman" w:cs="Times New Roman"/>
        </w:rPr>
        <w:t xml:space="preserve"> </w:t>
      </w:r>
      <w:proofErr w:type="spellStart"/>
      <w:r w:rsidRPr="00AE78CD">
        <w:rPr>
          <w:rFonts w:ascii="Times New Roman" w:hAnsi="Times New Roman" w:cs="Times New Roman"/>
        </w:rPr>
        <w:t>of</w:t>
      </w:r>
      <w:proofErr w:type="spellEnd"/>
      <w:r w:rsidRPr="00AE78CD">
        <w:rPr>
          <w:rFonts w:ascii="Times New Roman" w:hAnsi="Times New Roman" w:cs="Times New Roman"/>
        </w:rPr>
        <w:t xml:space="preserve"> </w:t>
      </w:r>
      <w:proofErr w:type="spellStart"/>
      <w:r w:rsidRPr="00AE78CD">
        <w:rPr>
          <w:rFonts w:ascii="Times New Roman" w:hAnsi="Times New Roman" w:cs="Times New Roman"/>
        </w:rPr>
        <w:t>protection</w:t>
      </w:r>
      <w:proofErr w:type="spellEnd"/>
      <w:r w:rsidRPr="00AE78CD">
        <w:rPr>
          <w:rFonts w:ascii="Times New Roman" w:hAnsi="Times New Roman" w:cs="Times New Roman"/>
        </w:rPr>
        <w:t xml:space="preserve"> </w:t>
      </w:r>
      <w:proofErr w:type="spellStart"/>
      <w:r w:rsidRPr="00AE78CD">
        <w:rPr>
          <w:rFonts w:ascii="Times New Roman" w:hAnsi="Times New Roman" w:cs="Times New Roman"/>
        </w:rPr>
        <w:t>of</w:t>
      </w:r>
      <w:proofErr w:type="spellEnd"/>
      <w:r w:rsidRPr="00AE78CD">
        <w:rPr>
          <w:rFonts w:ascii="Times New Roman" w:hAnsi="Times New Roman" w:cs="Times New Roman"/>
        </w:rPr>
        <w:t xml:space="preserve"> trans </w:t>
      </w:r>
      <w:proofErr w:type="spellStart"/>
      <w:r w:rsidRPr="00AE78CD">
        <w:rPr>
          <w:rFonts w:ascii="Times New Roman" w:hAnsi="Times New Roman" w:cs="Times New Roman"/>
        </w:rPr>
        <w:t>people</w:t>
      </w:r>
      <w:proofErr w:type="spellEnd"/>
      <w:r w:rsidRPr="00AE78CD">
        <w:rPr>
          <w:rFonts w:ascii="Times New Roman" w:hAnsi="Times New Roman" w:cs="Times New Roman"/>
        </w:rPr>
        <w:t xml:space="preserve"> </w:t>
      </w:r>
      <w:proofErr w:type="spellStart"/>
      <w:r w:rsidRPr="00AE78CD">
        <w:rPr>
          <w:rFonts w:ascii="Times New Roman" w:hAnsi="Times New Roman" w:cs="Times New Roman"/>
        </w:rPr>
        <w:t>elaborated</w:t>
      </w:r>
      <w:proofErr w:type="spellEnd"/>
      <w:r w:rsidRPr="00AE78CD">
        <w:rPr>
          <w:rFonts w:ascii="Times New Roman" w:hAnsi="Times New Roman" w:cs="Times New Roman"/>
        </w:rPr>
        <w:t xml:space="preserve"> </w:t>
      </w:r>
      <w:proofErr w:type="spellStart"/>
      <w:r w:rsidRPr="00AE78CD">
        <w:rPr>
          <w:rFonts w:ascii="Times New Roman" w:hAnsi="Times New Roman" w:cs="Times New Roman"/>
        </w:rPr>
        <w:t>by</w:t>
      </w:r>
      <w:proofErr w:type="spellEnd"/>
      <w:r w:rsidRPr="00AE78CD">
        <w:rPr>
          <w:rFonts w:ascii="Times New Roman" w:hAnsi="Times New Roman" w:cs="Times New Roman"/>
        </w:rPr>
        <w:t xml:space="preserve"> </w:t>
      </w:r>
      <w:proofErr w:type="spellStart"/>
      <w:r w:rsidRPr="00AE78CD">
        <w:rPr>
          <w:rFonts w:ascii="Times New Roman" w:hAnsi="Times New Roman" w:cs="Times New Roman"/>
        </w:rPr>
        <w:t>the</w:t>
      </w:r>
      <w:proofErr w:type="spellEnd"/>
      <w:r w:rsidRPr="00AE78CD">
        <w:rPr>
          <w:rFonts w:ascii="Times New Roman" w:hAnsi="Times New Roman" w:cs="Times New Roman"/>
        </w:rPr>
        <w:t xml:space="preserve"> </w:t>
      </w:r>
      <w:proofErr w:type="spellStart"/>
      <w:r w:rsidRPr="00AE78CD">
        <w:rPr>
          <w:rFonts w:ascii="Times New Roman" w:hAnsi="Times New Roman" w:cs="Times New Roman"/>
        </w:rPr>
        <w:t>Court</w:t>
      </w:r>
      <w:proofErr w:type="spellEnd"/>
      <w:r w:rsidRPr="00AE78CD">
        <w:rPr>
          <w:rFonts w:ascii="Times New Roman" w:hAnsi="Times New Roman" w:cs="Times New Roman"/>
        </w:rPr>
        <w:t xml:space="preserve"> </w:t>
      </w:r>
      <w:proofErr w:type="spellStart"/>
      <w:r w:rsidRPr="00AE78CD">
        <w:rPr>
          <w:rFonts w:ascii="Times New Roman" w:hAnsi="Times New Roman" w:cs="Times New Roman"/>
        </w:rPr>
        <w:t>of</w:t>
      </w:r>
      <w:proofErr w:type="spellEnd"/>
      <w:r w:rsidRPr="00AE78CD">
        <w:rPr>
          <w:rFonts w:ascii="Times New Roman" w:hAnsi="Times New Roman" w:cs="Times New Roman"/>
        </w:rPr>
        <w:t xml:space="preserve"> </w:t>
      </w:r>
      <w:proofErr w:type="spellStart"/>
      <w:r w:rsidRPr="00AE78CD">
        <w:rPr>
          <w:rFonts w:ascii="Times New Roman" w:hAnsi="Times New Roman" w:cs="Times New Roman"/>
        </w:rPr>
        <w:t>Strasbourg</w:t>
      </w:r>
      <w:proofErr w:type="spellEnd"/>
      <w:r w:rsidRPr="00AE78CD">
        <w:rPr>
          <w:rFonts w:ascii="Times New Roman" w:hAnsi="Times New Roman" w:cs="Times New Roman"/>
        </w:rPr>
        <w:t xml:space="preserve"> and </w:t>
      </w:r>
      <w:proofErr w:type="spellStart"/>
      <w:r w:rsidRPr="00AE78CD">
        <w:rPr>
          <w:rFonts w:ascii="Times New Roman" w:hAnsi="Times New Roman" w:cs="Times New Roman"/>
        </w:rPr>
        <w:t>their</w:t>
      </w:r>
      <w:proofErr w:type="spellEnd"/>
      <w:r w:rsidRPr="00AE78CD">
        <w:rPr>
          <w:rFonts w:ascii="Times New Roman" w:hAnsi="Times New Roman" w:cs="Times New Roman"/>
        </w:rPr>
        <w:t xml:space="preserve"> </w:t>
      </w:r>
      <w:proofErr w:type="spellStart"/>
      <w:r w:rsidRPr="00AE78CD">
        <w:rPr>
          <w:rFonts w:ascii="Times New Roman" w:hAnsi="Times New Roman" w:cs="Times New Roman"/>
        </w:rPr>
        <w:t>incorporation</w:t>
      </w:r>
      <w:proofErr w:type="spellEnd"/>
      <w:r w:rsidRPr="00AE78CD">
        <w:rPr>
          <w:rFonts w:ascii="Times New Roman" w:hAnsi="Times New Roman" w:cs="Times New Roman"/>
        </w:rPr>
        <w:t xml:space="preserve"> in </w:t>
      </w:r>
      <w:proofErr w:type="spellStart"/>
      <w:r w:rsidRPr="00AE78CD">
        <w:rPr>
          <w:rFonts w:ascii="Times New Roman" w:hAnsi="Times New Roman" w:cs="Times New Roman"/>
        </w:rPr>
        <w:t>the</w:t>
      </w:r>
      <w:proofErr w:type="spellEnd"/>
      <w:r w:rsidRPr="00AE78CD">
        <w:rPr>
          <w:rFonts w:ascii="Times New Roman" w:hAnsi="Times New Roman" w:cs="Times New Roman"/>
        </w:rPr>
        <w:t xml:space="preserve"> </w:t>
      </w:r>
      <w:proofErr w:type="spellStart"/>
      <w:r w:rsidRPr="00AE78CD">
        <w:rPr>
          <w:rFonts w:ascii="Times New Roman" w:hAnsi="Times New Roman" w:cs="Times New Roman"/>
        </w:rPr>
        <w:t>recent</w:t>
      </w:r>
      <w:proofErr w:type="spellEnd"/>
      <w:r w:rsidRPr="00AE78CD">
        <w:rPr>
          <w:rFonts w:ascii="Times New Roman" w:hAnsi="Times New Roman" w:cs="Times New Roman"/>
        </w:rPr>
        <w:t xml:space="preserve"> </w:t>
      </w:r>
      <w:proofErr w:type="spellStart"/>
      <w:r w:rsidRPr="00AE78CD">
        <w:rPr>
          <w:rFonts w:ascii="Times New Roman" w:hAnsi="Times New Roman" w:cs="Times New Roman"/>
        </w:rPr>
        <w:t>spanish</w:t>
      </w:r>
      <w:proofErr w:type="spellEnd"/>
      <w:r w:rsidRPr="00AE78CD">
        <w:rPr>
          <w:rFonts w:ascii="Times New Roman" w:hAnsi="Times New Roman" w:cs="Times New Roman"/>
        </w:rPr>
        <w:t xml:space="preserve"> </w:t>
      </w:r>
      <w:proofErr w:type="spellStart"/>
      <w:r w:rsidRPr="00AE78CD">
        <w:rPr>
          <w:rFonts w:ascii="Times New Roman" w:hAnsi="Times New Roman" w:cs="Times New Roman"/>
        </w:rPr>
        <w:t>legislative</w:t>
      </w:r>
      <w:proofErr w:type="spellEnd"/>
      <w:r w:rsidRPr="00AE78CD">
        <w:rPr>
          <w:rFonts w:ascii="Times New Roman" w:hAnsi="Times New Roman" w:cs="Times New Roman"/>
        </w:rPr>
        <w:t xml:space="preserve"> </w:t>
      </w:r>
      <w:proofErr w:type="spellStart"/>
      <w:r w:rsidRPr="00AE78CD">
        <w:rPr>
          <w:rFonts w:ascii="Times New Roman" w:hAnsi="Times New Roman" w:cs="Times New Roman"/>
        </w:rPr>
        <w:t>proposal</w:t>
      </w:r>
      <w:proofErr w:type="spellEnd"/>
      <w:r w:rsidRPr="00AE78CD">
        <w:rPr>
          <w:rFonts w:ascii="Times New Roman" w:hAnsi="Times New Roman" w:cs="Times New Roman"/>
          <w:lang w:val="it-IT"/>
        </w:rPr>
        <w:t>»</w:t>
      </w:r>
      <w:r w:rsidRPr="00AE78CD">
        <w:rPr>
          <w:rFonts w:ascii="Times New Roman" w:hAnsi="Times New Roman" w:cs="Times New Roman"/>
        </w:rPr>
        <w:t xml:space="preserve">, </w:t>
      </w:r>
      <w:proofErr w:type="spellStart"/>
      <w:r w:rsidRPr="00AE78CD">
        <w:rPr>
          <w:rFonts w:ascii="Times New Roman" w:hAnsi="Times New Roman" w:cs="Times New Roman"/>
        </w:rPr>
        <w:t>The</w:t>
      </w:r>
      <w:proofErr w:type="spellEnd"/>
      <w:r w:rsidRPr="00AE78CD">
        <w:rPr>
          <w:rFonts w:ascii="Times New Roman" w:hAnsi="Times New Roman" w:cs="Times New Roman"/>
        </w:rPr>
        <w:t xml:space="preserve"> Age </w:t>
      </w:r>
      <w:proofErr w:type="spellStart"/>
      <w:r w:rsidRPr="00AE78CD">
        <w:rPr>
          <w:rFonts w:ascii="Times New Roman" w:hAnsi="Times New Roman" w:cs="Times New Roman"/>
        </w:rPr>
        <w:t>of</w:t>
      </w:r>
      <w:proofErr w:type="spellEnd"/>
      <w:r w:rsidRPr="00AE78CD">
        <w:rPr>
          <w:rFonts w:ascii="Times New Roman" w:hAnsi="Times New Roman" w:cs="Times New Roman"/>
        </w:rPr>
        <w:t xml:space="preserve"> Human </w:t>
      </w:r>
      <w:proofErr w:type="spellStart"/>
      <w:r w:rsidRPr="00AE78CD">
        <w:rPr>
          <w:rFonts w:ascii="Times New Roman" w:hAnsi="Times New Roman" w:cs="Times New Roman"/>
        </w:rPr>
        <w:t>Rights</w:t>
      </w:r>
      <w:proofErr w:type="spellEnd"/>
      <w:r w:rsidRPr="00AE78CD">
        <w:rPr>
          <w:rFonts w:ascii="Times New Roman" w:hAnsi="Times New Roman" w:cs="Times New Roman"/>
        </w:rPr>
        <w:t xml:space="preserve"> </w:t>
      </w:r>
      <w:proofErr w:type="spellStart"/>
      <w:r w:rsidRPr="00AE78CD">
        <w:rPr>
          <w:rFonts w:ascii="Times New Roman" w:hAnsi="Times New Roman" w:cs="Times New Roman"/>
        </w:rPr>
        <w:t>Journal</w:t>
      </w:r>
      <w:proofErr w:type="spellEnd"/>
      <w:r w:rsidRPr="00AE78CD">
        <w:rPr>
          <w:rFonts w:ascii="Times New Roman" w:hAnsi="Times New Roman" w:cs="Times New Roman"/>
        </w:rPr>
        <w:t xml:space="preserve">, 2022, en prensa. </w:t>
      </w:r>
    </w:p>
  </w:footnote>
  <w:footnote w:id="51">
    <w:p w14:paraId="52E75E19" w14:textId="62B7350D" w:rsidR="007B344A" w:rsidRPr="00AE78CD" w:rsidRDefault="007B344A" w:rsidP="00AE78CD">
      <w:pPr>
        <w:pStyle w:val="Textonotapie"/>
        <w:jc w:val="both"/>
        <w:rPr>
          <w:rFonts w:ascii="Times New Roman" w:hAnsi="Times New Roman" w:cs="Times New Roman"/>
        </w:rPr>
      </w:pPr>
      <w:r w:rsidRPr="00AE78CD">
        <w:rPr>
          <w:rStyle w:val="Refdenotaalpie"/>
          <w:rFonts w:ascii="Times New Roman" w:hAnsi="Times New Roman" w:cs="Times New Roman"/>
        </w:rPr>
        <w:footnoteRef/>
      </w:r>
      <w:r w:rsidRPr="00AE78CD">
        <w:rPr>
          <w:rFonts w:ascii="Times New Roman" w:hAnsi="Times New Roman" w:cs="Times New Roman"/>
        </w:rPr>
        <w:t xml:space="preserve"> Vid. A. QUERALT JIMÉNEZ, «Las sentencias piloto como ejemplo paradigmático de la transformación del Tribunal Europeo de Derechos Humanos», </w:t>
      </w:r>
      <w:r w:rsidRPr="00AE78CD">
        <w:rPr>
          <w:rFonts w:ascii="Times New Roman" w:hAnsi="Times New Roman" w:cs="Times New Roman"/>
          <w:i/>
        </w:rPr>
        <w:t>Teoría y realidad constitucional</w:t>
      </w:r>
      <w:r w:rsidRPr="00AE78CD">
        <w:rPr>
          <w:rFonts w:ascii="Times New Roman" w:hAnsi="Times New Roman" w:cs="Times New Roman"/>
        </w:rPr>
        <w:t xml:space="preserve">, n. 42, 2018 (Ejemplar dedicado a: Tribunal Europeo de Derechos Humanos), 2018, pp. 395-424; S. TURTURRO PÉREZ DE LOS COBOS, «Las sentencias piloto del TEDH sobre los tratos inhumanos y degradantes en las cárceles europeas», </w:t>
      </w:r>
      <w:proofErr w:type="spellStart"/>
      <w:r w:rsidRPr="00AE78CD">
        <w:rPr>
          <w:rFonts w:ascii="Times New Roman" w:hAnsi="Times New Roman" w:cs="Times New Roman"/>
          <w:i/>
        </w:rPr>
        <w:t>Eunomía</w:t>
      </w:r>
      <w:proofErr w:type="spellEnd"/>
      <w:r w:rsidRPr="00AE78CD">
        <w:rPr>
          <w:rFonts w:ascii="Times New Roman" w:hAnsi="Times New Roman" w:cs="Times New Roman"/>
          <w:i/>
        </w:rPr>
        <w:t>: Revista en Cultura de la Legalidad</w:t>
      </w:r>
      <w:r w:rsidRPr="00AE78CD">
        <w:rPr>
          <w:rFonts w:ascii="Times New Roman" w:hAnsi="Times New Roman" w:cs="Times New Roman"/>
        </w:rPr>
        <w:t xml:space="preserve">, n. 18, 2020, pp. 130-147.  </w:t>
      </w:r>
    </w:p>
  </w:footnote>
  <w:footnote w:id="52">
    <w:p w14:paraId="3146022A" w14:textId="386D8957" w:rsidR="007B344A" w:rsidRPr="00AE78CD" w:rsidRDefault="007B344A" w:rsidP="00AE78CD">
      <w:pPr>
        <w:pStyle w:val="Textonotapie"/>
        <w:jc w:val="both"/>
        <w:rPr>
          <w:rFonts w:ascii="Times New Roman" w:hAnsi="Times New Roman" w:cs="Times New Roman"/>
        </w:rPr>
      </w:pPr>
      <w:r w:rsidRPr="00AE78CD">
        <w:rPr>
          <w:rStyle w:val="Refdenotaalpie"/>
          <w:rFonts w:ascii="Times New Roman" w:hAnsi="Times New Roman" w:cs="Times New Roman"/>
        </w:rPr>
        <w:footnoteRef/>
      </w:r>
      <w:r w:rsidRPr="00AE78CD">
        <w:rPr>
          <w:rFonts w:ascii="Times New Roman" w:hAnsi="Times New Roman" w:cs="Times New Roman"/>
        </w:rPr>
        <w:t xml:space="preserve"> Vid., entre otros: L. M. LÓPEZ GUERRA, «Los Protocolos de reforma n. 15 y 16 al Convenio Europeo de Derechos Humanos», </w:t>
      </w:r>
      <w:r w:rsidRPr="00AE78CD">
        <w:rPr>
          <w:rFonts w:ascii="Times New Roman" w:hAnsi="Times New Roman" w:cs="Times New Roman"/>
          <w:i/>
        </w:rPr>
        <w:t>Revista Española de Derecho europeo</w:t>
      </w:r>
      <w:r w:rsidRPr="00AE78CD">
        <w:rPr>
          <w:rFonts w:ascii="Times New Roman" w:hAnsi="Times New Roman" w:cs="Times New Roman"/>
        </w:rPr>
        <w:t xml:space="preserve">, n. 49, enero-marzo 2014, pp. 11-29; S. ROMBOLI, «El rol del Protocolo n. 16 al CEDH en el dialogo entre Tribunales para una protección de los derechos más uniforme. Reflexiones al hilo de sus características y de la propuesta italiana de ratificación», en A. Pérez Miras, G. M. Teruel Lozano, E. C. </w:t>
      </w:r>
      <w:proofErr w:type="spellStart"/>
      <w:r w:rsidRPr="00AE78CD">
        <w:rPr>
          <w:rFonts w:ascii="Times New Roman" w:hAnsi="Times New Roman" w:cs="Times New Roman"/>
        </w:rPr>
        <w:t>Raffiott</w:t>
      </w:r>
      <w:r w:rsidR="0030059E">
        <w:rPr>
          <w:rFonts w:ascii="Times New Roman" w:hAnsi="Times New Roman" w:cs="Times New Roman"/>
        </w:rPr>
        <w:t>a</w:t>
      </w:r>
      <w:proofErr w:type="spellEnd"/>
      <w:r w:rsidRPr="00AE78CD">
        <w:rPr>
          <w:rFonts w:ascii="Times New Roman" w:hAnsi="Times New Roman" w:cs="Times New Roman"/>
        </w:rPr>
        <w:t xml:space="preserve">, M. P. </w:t>
      </w:r>
      <w:proofErr w:type="spellStart"/>
      <w:r w:rsidRPr="00AE78CD">
        <w:rPr>
          <w:rFonts w:ascii="Times New Roman" w:hAnsi="Times New Roman" w:cs="Times New Roman"/>
        </w:rPr>
        <w:t>Iadicco</w:t>
      </w:r>
      <w:proofErr w:type="spellEnd"/>
      <w:r w:rsidRPr="00AE78CD">
        <w:rPr>
          <w:rFonts w:ascii="Times New Roman" w:hAnsi="Times New Roman" w:cs="Times New Roman"/>
        </w:rPr>
        <w:t xml:space="preserve"> (</w:t>
      </w:r>
      <w:proofErr w:type="spellStart"/>
      <w:r w:rsidRPr="00AE78CD">
        <w:rPr>
          <w:rFonts w:ascii="Times New Roman" w:hAnsi="Times New Roman" w:cs="Times New Roman"/>
        </w:rPr>
        <w:t>dirs</w:t>
      </w:r>
      <w:proofErr w:type="spellEnd"/>
      <w:r w:rsidRPr="00AE78CD">
        <w:rPr>
          <w:rFonts w:ascii="Times New Roman" w:hAnsi="Times New Roman" w:cs="Times New Roman"/>
        </w:rPr>
        <w:t xml:space="preserve">.), </w:t>
      </w:r>
      <w:r w:rsidRPr="00AE78CD">
        <w:rPr>
          <w:rFonts w:ascii="Times New Roman" w:hAnsi="Times New Roman" w:cs="Times New Roman"/>
          <w:i/>
        </w:rPr>
        <w:t>Setenta años de Constitución Italiana y cuarenta años de Constitución Española</w:t>
      </w:r>
      <w:r w:rsidRPr="00AE78CD">
        <w:rPr>
          <w:rFonts w:ascii="Times New Roman" w:hAnsi="Times New Roman" w:cs="Times New Roman"/>
        </w:rPr>
        <w:t>, Vol. 2, (Derechos fundamentales, coord. por C. Montesinos Padilla), CEPC y BOE, Madrid, 2020, pp. 41-62; M. A. SEVILLA DURO, «El Protocolo núm. 16 del Convenio Europeo de Derechos Humanos: El diálogo entre tribunales para la configuración de un espacio europeo de derechos», </w:t>
      </w:r>
      <w:r w:rsidRPr="00AE78CD">
        <w:rPr>
          <w:rFonts w:ascii="Times New Roman" w:hAnsi="Times New Roman" w:cs="Times New Roman"/>
          <w:i/>
          <w:iCs/>
        </w:rPr>
        <w:t>Anales de Derecho</w:t>
      </w:r>
      <w:r w:rsidRPr="00AE78CD">
        <w:rPr>
          <w:rFonts w:ascii="Times New Roman" w:hAnsi="Times New Roman" w:cs="Times New Roman"/>
        </w:rPr>
        <w:t xml:space="preserve">, 2020, pp. 1-26.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E1082"/>
    <w:multiLevelType w:val="hybridMultilevel"/>
    <w:tmpl w:val="61183D62"/>
    <w:lvl w:ilvl="0" w:tplc="394093A4">
      <w:start w:val="5"/>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CFD"/>
    <w:rsid w:val="000038B0"/>
    <w:rsid w:val="000057EF"/>
    <w:rsid w:val="0001185F"/>
    <w:rsid w:val="000123D6"/>
    <w:rsid w:val="00012908"/>
    <w:rsid w:val="0002593A"/>
    <w:rsid w:val="00025FDF"/>
    <w:rsid w:val="000300EF"/>
    <w:rsid w:val="00032C5B"/>
    <w:rsid w:val="00033678"/>
    <w:rsid w:val="000416F9"/>
    <w:rsid w:val="0004222F"/>
    <w:rsid w:val="00044C30"/>
    <w:rsid w:val="00047ED4"/>
    <w:rsid w:val="000507D2"/>
    <w:rsid w:val="00053364"/>
    <w:rsid w:val="000562BB"/>
    <w:rsid w:val="00060276"/>
    <w:rsid w:val="00064636"/>
    <w:rsid w:val="0006597D"/>
    <w:rsid w:val="00071B0E"/>
    <w:rsid w:val="0007466C"/>
    <w:rsid w:val="00074A32"/>
    <w:rsid w:val="00076179"/>
    <w:rsid w:val="00076AAC"/>
    <w:rsid w:val="00076DA2"/>
    <w:rsid w:val="00080687"/>
    <w:rsid w:val="00080C16"/>
    <w:rsid w:val="0009550B"/>
    <w:rsid w:val="000A0C12"/>
    <w:rsid w:val="000A5D21"/>
    <w:rsid w:val="000B0B76"/>
    <w:rsid w:val="000B5714"/>
    <w:rsid w:val="000B673C"/>
    <w:rsid w:val="000C02BB"/>
    <w:rsid w:val="000C08CF"/>
    <w:rsid w:val="000C1986"/>
    <w:rsid w:val="000C207B"/>
    <w:rsid w:val="000D17F6"/>
    <w:rsid w:val="000D23BC"/>
    <w:rsid w:val="000D407C"/>
    <w:rsid w:val="000D55A5"/>
    <w:rsid w:val="000E3043"/>
    <w:rsid w:val="000E3A02"/>
    <w:rsid w:val="000E3EE1"/>
    <w:rsid w:val="000E3FF1"/>
    <w:rsid w:val="000F220E"/>
    <w:rsid w:val="000F26F4"/>
    <w:rsid w:val="000F38B0"/>
    <w:rsid w:val="000F679C"/>
    <w:rsid w:val="00100EE5"/>
    <w:rsid w:val="001047EB"/>
    <w:rsid w:val="00105ACD"/>
    <w:rsid w:val="001077BA"/>
    <w:rsid w:val="0011469B"/>
    <w:rsid w:val="0011659A"/>
    <w:rsid w:val="0011791C"/>
    <w:rsid w:val="00122279"/>
    <w:rsid w:val="00122CC1"/>
    <w:rsid w:val="0012429C"/>
    <w:rsid w:val="0012656D"/>
    <w:rsid w:val="00132294"/>
    <w:rsid w:val="00132A14"/>
    <w:rsid w:val="00133B46"/>
    <w:rsid w:val="001409B6"/>
    <w:rsid w:val="00141B5F"/>
    <w:rsid w:val="001439A0"/>
    <w:rsid w:val="00152F1D"/>
    <w:rsid w:val="001547C5"/>
    <w:rsid w:val="001605C3"/>
    <w:rsid w:val="00164278"/>
    <w:rsid w:val="00167342"/>
    <w:rsid w:val="00173251"/>
    <w:rsid w:val="00174291"/>
    <w:rsid w:val="0017578F"/>
    <w:rsid w:val="00181E20"/>
    <w:rsid w:val="0018420C"/>
    <w:rsid w:val="00184AE8"/>
    <w:rsid w:val="0018527A"/>
    <w:rsid w:val="00187C69"/>
    <w:rsid w:val="00190AB9"/>
    <w:rsid w:val="001942B5"/>
    <w:rsid w:val="0019637E"/>
    <w:rsid w:val="001A0804"/>
    <w:rsid w:val="001A345C"/>
    <w:rsid w:val="001A5941"/>
    <w:rsid w:val="001B12B4"/>
    <w:rsid w:val="001B22E6"/>
    <w:rsid w:val="001B2F50"/>
    <w:rsid w:val="001C1BC1"/>
    <w:rsid w:val="001C33EA"/>
    <w:rsid w:val="001C3864"/>
    <w:rsid w:val="001C4F72"/>
    <w:rsid w:val="001C6075"/>
    <w:rsid w:val="001C623A"/>
    <w:rsid w:val="001D6F06"/>
    <w:rsid w:val="001D7033"/>
    <w:rsid w:val="001E197A"/>
    <w:rsid w:val="001E3AAB"/>
    <w:rsid w:val="001E519E"/>
    <w:rsid w:val="001E7080"/>
    <w:rsid w:val="001F04D0"/>
    <w:rsid w:val="001F5C90"/>
    <w:rsid w:val="001F74EC"/>
    <w:rsid w:val="00202552"/>
    <w:rsid w:val="00206220"/>
    <w:rsid w:val="0021304F"/>
    <w:rsid w:val="00215A9C"/>
    <w:rsid w:val="002162AF"/>
    <w:rsid w:val="002162B7"/>
    <w:rsid w:val="00216E73"/>
    <w:rsid w:val="00224D86"/>
    <w:rsid w:val="00225DC9"/>
    <w:rsid w:val="00226A2A"/>
    <w:rsid w:val="00230556"/>
    <w:rsid w:val="002360A3"/>
    <w:rsid w:val="0023674B"/>
    <w:rsid w:val="002401EA"/>
    <w:rsid w:val="00243A37"/>
    <w:rsid w:val="00243B89"/>
    <w:rsid w:val="0024553D"/>
    <w:rsid w:val="002576FB"/>
    <w:rsid w:val="00262B29"/>
    <w:rsid w:val="00262D40"/>
    <w:rsid w:val="002640B3"/>
    <w:rsid w:val="00267149"/>
    <w:rsid w:val="0026749E"/>
    <w:rsid w:val="00271521"/>
    <w:rsid w:val="00272C52"/>
    <w:rsid w:val="00273789"/>
    <w:rsid w:val="002739BA"/>
    <w:rsid w:val="00274C79"/>
    <w:rsid w:val="0027589C"/>
    <w:rsid w:val="00275E0C"/>
    <w:rsid w:val="00280EC7"/>
    <w:rsid w:val="00281B55"/>
    <w:rsid w:val="00284595"/>
    <w:rsid w:val="002870CD"/>
    <w:rsid w:val="0029022A"/>
    <w:rsid w:val="00292283"/>
    <w:rsid w:val="00293508"/>
    <w:rsid w:val="0029574E"/>
    <w:rsid w:val="0029780B"/>
    <w:rsid w:val="002A2866"/>
    <w:rsid w:val="002A3EBC"/>
    <w:rsid w:val="002A4C59"/>
    <w:rsid w:val="002B40AE"/>
    <w:rsid w:val="002B4E19"/>
    <w:rsid w:val="002C1D3D"/>
    <w:rsid w:val="002C2D14"/>
    <w:rsid w:val="002C2ECB"/>
    <w:rsid w:val="002C2F5D"/>
    <w:rsid w:val="002C398C"/>
    <w:rsid w:val="002C5544"/>
    <w:rsid w:val="002C5595"/>
    <w:rsid w:val="002C57B1"/>
    <w:rsid w:val="002C5B66"/>
    <w:rsid w:val="002C71BB"/>
    <w:rsid w:val="002D07FE"/>
    <w:rsid w:val="002D438B"/>
    <w:rsid w:val="002D7262"/>
    <w:rsid w:val="002E4F32"/>
    <w:rsid w:val="002F103F"/>
    <w:rsid w:val="002F31FA"/>
    <w:rsid w:val="002F41EB"/>
    <w:rsid w:val="002F62C3"/>
    <w:rsid w:val="002F6E4F"/>
    <w:rsid w:val="0030059E"/>
    <w:rsid w:val="00300954"/>
    <w:rsid w:val="0030132E"/>
    <w:rsid w:val="00312750"/>
    <w:rsid w:val="00312791"/>
    <w:rsid w:val="00313579"/>
    <w:rsid w:val="003140EA"/>
    <w:rsid w:val="00316C88"/>
    <w:rsid w:val="0032279F"/>
    <w:rsid w:val="003246AB"/>
    <w:rsid w:val="003250E1"/>
    <w:rsid w:val="003264D1"/>
    <w:rsid w:val="0033080F"/>
    <w:rsid w:val="00331322"/>
    <w:rsid w:val="00331985"/>
    <w:rsid w:val="0033218F"/>
    <w:rsid w:val="003335DB"/>
    <w:rsid w:val="00334AC1"/>
    <w:rsid w:val="00340A6C"/>
    <w:rsid w:val="003435F7"/>
    <w:rsid w:val="003436C3"/>
    <w:rsid w:val="003439A8"/>
    <w:rsid w:val="0035748C"/>
    <w:rsid w:val="003603DF"/>
    <w:rsid w:val="00362A11"/>
    <w:rsid w:val="00366163"/>
    <w:rsid w:val="003671B7"/>
    <w:rsid w:val="00374882"/>
    <w:rsid w:val="00381FB8"/>
    <w:rsid w:val="00382821"/>
    <w:rsid w:val="0039517D"/>
    <w:rsid w:val="00395F9F"/>
    <w:rsid w:val="00397D62"/>
    <w:rsid w:val="003A3FEC"/>
    <w:rsid w:val="003A49DC"/>
    <w:rsid w:val="003A5D2F"/>
    <w:rsid w:val="003A7CAB"/>
    <w:rsid w:val="003B19C7"/>
    <w:rsid w:val="003B5EF2"/>
    <w:rsid w:val="003C0E7C"/>
    <w:rsid w:val="003C2416"/>
    <w:rsid w:val="003C2BC5"/>
    <w:rsid w:val="003C2BED"/>
    <w:rsid w:val="003C302F"/>
    <w:rsid w:val="003C551A"/>
    <w:rsid w:val="003C56DC"/>
    <w:rsid w:val="003C721E"/>
    <w:rsid w:val="003D26D3"/>
    <w:rsid w:val="003D6F05"/>
    <w:rsid w:val="003D761F"/>
    <w:rsid w:val="003E11F6"/>
    <w:rsid w:val="003F1241"/>
    <w:rsid w:val="003F138B"/>
    <w:rsid w:val="003F54B3"/>
    <w:rsid w:val="00404405"/>
    <w:rsid w:val="0041096D"/>
    <w:rsid w:val="00411CBD"/>
    <w:rsid w:val="00415B4F"/>
    <w:rsid w:val="00415D77"/>
    <w:rsid w:val="00416D54"/>
    <w:rsid w:val="00416F76"/>
    <w:rsid w:val="00420AEC"/>
    <w:rsid w:val="0042121E"/>
    <w:rsid w:val="00421EE3"/>
    <w:rsid w:val="00423BC1"/>
    <w:rsid w:val="004244DC"/>
    <w:rsid w:val="004302AE"/>
    <w:rsid w:val="00430DE4"/>
    <w:rsid w:val="00435DC6"/>
    <w:rsid w:val="00443481"/>
    <w:rsid w:val="00447074"/>
    <w:rsid w:val="00450105"/>
    <w:rsid w:val="0045096C"/>
    <w:rsid w:val="0045287F"/>
    <w:rsid w:val="0045417D"/>
    <w:rsid w:val="00456A24"/>
    <w:rsid w:val="004576E8"/>
    <w:rsid w:val="00457A10"/>
    <w:rsid w:val="00462617"/>
    <w:rsid w:val="00464AC5"/>
    <w:rsid w:val="00464B45"/>
    <w:rsid w:val="004718B4"/>
    <w:rsid w:val="00475991"/>
    <w:rsid w:val="004807EA"/>
    <w:rsid w:val="00481726"/>
    <w:rsid w:val="00486E6C"/>
    <w:rsid w:val="00486F5D"/>
    <w:rsid w:val="00487EAB"/>
    <w:rsid w:val="004909AB"/>
    <w:rsid w:val="00491900"/>
    <w:rsid w:val="00495978"/>
    <w:rsid w:val="0049619F"/>
    <w:rsid w:val="004A43AA"/>
    <w:rsid w:val="004A53DA"/>
    <w:rsid w:val="004B2F25"/>
    <w:rsid w:val="004B41E3"/>
    <w:rsid w:val="004B664B"/>
    <w:rsid w:val="004C0603"/>
    <w:rsid w:val="004C20B8"/>
    <w:rsid w:val="004C63FC"/>
    <w:rsid w:val="004D06D7"/>
    <w:rsid w:val="004D1341"/>
    <w:rsid w:val="004D3903"/>
    <w:rsid w:val="004D59F0"/>
    <w:rsid w:val="004D7EBF"/>
    <w:rsid w:val="004E0D55"/>
    <w:rsid w:val="004E2BAE"/>
    <w:rsid w:val="004E4344"/>
    <w:rsid w:val="004F1281"/>
    <w:rsid w:val="004F5828"/>
    <w:rsid w:val="004F5F4D"/>
    <w:rsid w:val="004F6EC9"/>
    <w:rsid w:val="004F7824"/>
    <w:rsid w:val="00501031"/>
    <w:rsid w:val="0050484C"/>
    <w:rsid w:val="00507017"/>
    <w:rsid w:val="00511117"/>
    <w:rsid w:val="0051117E"/>
    <w:rsid w:val="0051194C"/>
    <w:rsid w:val="00513486"/>
    <w:rsid w:val="0052118D"/>
    <w:rsid w:val="0052335E"/>
    <w:rsid w:val="00530A11"/>
    <w:rsid w:val="00532499"/>
    <w:rsid w:val="00534469"/>
    <w:rsid w:val="005345FA"/>
    <w:rsid w:val="00535017"/>
    <w:rsid w:val="00536D78"/>
    <w:rsid w:val="00537FA0"/>
    <w:rsid w:val="005449B9"/>
    <w:rsid w:val="00545A82"/>
    <w:rsid w:val="00546374"/>
    <w:rsid w:val="00546BBF"/>
    <w:rsid w:val="0055742A"/>
    <w:rsid w:val="00557B68"/>
    <w:rsid w:val="00560DEE"/>
    <w:rsid w:val="00561040"/>
    <w:rsid w:val="005654B2"/>
    <w:rsid w:val="005663CA"/>
    <w:rsid w:val="0056727C"/>
    <w:rsid w:val="00573562"/>
    <w:rsid w:val="005757A0"/>
    <w:rsid w:val="00577F4B"/>
    <w:rsid w:val="00582246"/>
    <w:rsid w:val="0058263E"/>
    <w:rsid w:val="00584790"/>
    <w:rsid w:val="005853CD"/>
    <w:rsid w:val="005903F4"/>
    <w:rsid w:val="00592738"/>
    <w:rsid w:val="00593C63"/>
    <w:rsid w:val="005966A8"/>
    <w:rsid w:val="005A1195"/>
    <w:rsid w:val="005A13CF"/>
    <w:rsid w:val="005A2487"/>
    <w:rsid w:val="005A250F"/>
    <w:rsid w:val="005A3D84"/>
    <w:rsid w:val="005A5406"/>
    <w:rsid w:val="005A5A44"/>
    <w:rsid w:val="005A7FFB"/>
    <w:rsid w:val="005B12A6"/>
    <w:rsid w:val="005B25AC"/>
    <w:rsid w:val="005C10A1"/>
    <w:rsid w:val="005C1DA7"/>
    <w:rsid w:val="005C5BB8"/>
    <w:rsid w:val="005C5F24"/>
    <w:rsid w:val="005C7E51"/>
    <w:rsid w:val="005D1DA9"/>
    <w:rsid w:val="005D5331"/>
    <w:rsid w:val="005E0790"/>
    <w:rsid w:val="005E11F8"/>
    <w:rsid w:val="005E2ADB"/>
    <w:rsid w:val="005E2EA8"/>
    <w:rsid w:val="005E4520"/>
    <w:rsid w:val="005F04BF"/>
    <w:rsid w:val="005F522B"/>
    <w:rsid w:val="005F7796"/>
    <w:rsid w:val="00602BD0"/>
    <w:rsid w:val="006031DB"/>
    <w:rsid w:val="006055B2"/>
    <w:rsid w:val="0060608C"/>
    <w:rsid w:val="006060F3"/>
    <w:rsid w:val="00607FCC"/>
    <w:rsid w:val="0061055A"/>
    <w:rsid w:val="006114FA"/>
    <w:rsid w:val="00615CFD"/>
    <w:rsid w:val="00615F1E"/>
    <w:rsid w:val="006179BA"/>
    <w:rsid w:val="00617EAA"/>
    <w:rsid w:val="006211AB"/>
    <w:rsid w:val="00621E3E"/>
    <w:rsid w:val="00623C04"/>
    <w:rsid w:val="0062572D"/>
    <w:rsid w:val="00626072"/>
    <w:rsid w:val="00626FD2"/>
    <w:rsid w:val="006314EE"/>
    <w:rsid w:val="00632151"/>
    <w:rsid w:val="006321EE"/>
    <w:rsid w:val="00633B00"/>
    <w:rsid w:val="00634460"/>
    <w:rsid w:val="00634494"/>
    <w:rsid w:val="00634774"/>
    <w:rsid w:val="006375FE"/>
    <w:rsid w:val="006404A2"/>
    <w:rsid w:val="00640926"/>
    <w:rsid w:val="0064351D"/>
    <w:rsid w:val="00645817"/>
    <w:rsid w:val="00645C66"/>
    <w:rsid w:val="0064624C"/>
    <w:rsid w:val="006466A9"/>
    <w:rsid w:val="00655D7C"/>
    <w:rsid w:val="00660AA9"/>
    <w:rsid w:val="006629D3"/>
    <w:rsid w:val="00663913"/>
    <w:rsid w:val="00667070"/>
    <w:rsid w:val="006702E0"/>
    <w:rsid w:val="00670948"/>
    <w:rsid w:val="00670BE0"/>
    <w:rsid w:val="00672E59"/>
    <w:rsid w:val="00673593"/>
    <w:rsid w:val="00673E2B"/>
    <w:rsid w:val="00675072"/>
    <w:rsid w:val="0068371F"/>
    <w:rsid w:val="0068413E"/>
    <w:rsid w:val="00687F48"/>
    <w:rsid w:val="006905F9"/>
    <w:rsid w:val="00691556"/>
    <w:rsid w:val="0069237C"/>
    <w:rsid w:val="00695D75"/>
    <w:rsid w:val="0069641B"/>
    <w:rsid w:val="0069690C"/>
    <w:rsid w:val="006A56F6"/>
    <w:rsid w:val="006A61A4"/>
    <w:rsid w:val="006A788D"/>
    <w:rsid w:val="006B0E89"/>
    <w:rsid w:val="006B40B4"/>
    <w:rsid w:val="006C1ACC"/>
    <w:rsid w:val="006C5CE5"/>
    <w:rsid w:val="006C7E9B"/>
    <w:rsid w:val="006D3C51"/>
    <w:rsid w:val="006D636C"/>
    <w:rsid w:val="006E32F2"/>
    <w:rsid w:val="006E3A85"/>
    <w:rsid w:val="006E4F52"/>
    <w:rsid w:val="006E77A8"/>
    <w:rsid w:val="006F09AE"/>
    <w:rsid w:val="006F0F9B"/>
    <w:rsid w:val="006F4569"/>
    <w:rsid w:val="006F5F9C"/>
    <w:rsid w:val="00702CBF"/>
    <w:rsid w:val="00704EDA"/>
    <w:rsid w:val="00706DBA"/>
    <w:rsid w:val="007126E8"/>
    <w:rsid w:val="00713845"/>
    <w:rsid w:val="00715C4F"/>
    <w:rsid w:val="00720E6B"/>
    <w:rsid w:val="00721A7D"/>
    <w:rsid w:val="00722F11"/>
    <w:rsid w:val="00723072"/>
    <w:rsid w:val="007243D7"/>
    <w:rsid w:val="007308C7"/>
    <w:rsid w:val="00734C82"/>
    <w:rsid w:val="00735AB1"/>
    <w:rsid w:val="0073649E"/>
    <w:rsid w:val="007376BE"/>
    <w:rsid w:val="00737F54"/>
    <w:rsid w:val="0074194F"/>
    <w:rsid w:val="00746F54"/>
    <w:rsid w:val="007572A8"/>
    <w:rsid w:val="00761793"/>
    <w:rsid w:val="00761D46"/>
    <w:rsid w:val="00764A3F"/>
    <w:rsid w:val="0076655D"/>
    <w:rsid w:val="007676A4"/>
    <w:rsid w:val="00781D53"/>
    <w:rsid w:val="00785490"/>
    <w:rsid w:val="00785597"/>
    <w:rsid w:val="0078701B"/>
    <w:rsid w:val="007935A8"/>
    <w:rsid w:val="00795FBD"/>
    <w:rsid w:val="007A007E"/>
    <w:rsid w:val="007A0A69"/>
    <w:rsid w:val="007A4649"/>
    <w:rsid w:val="007A6621"/>
    <w:rsid w:val="007A6B41"/>
    <w:rsid w:val="007A6F5E"/>
    <w:rsid w:val="007B09B6"/>
    <w:rsid w:val="007B2087"/>
    <w:rsid w:val="007B344A"/>
    <w:rsid w:val="007B6DFC"/>
    <w:rsid w:val="007B7096"/>
    <w:rsid w:val="007C0F30"/>
    <w:rsid w:val="007C35AD"/>
    <w:rsid w:val="007C4540"/>
    <w:rsid w:val="007D0117"/>
    <w:rsid w:val="007D4117"/>
    <w:rsid w:val="007D4574"/>
    <w:rsid w:val="007D6AF7"/>
    <w:rsid w:val="007E1054"/>
    <w:rsid w:val="007E22F4"/>
    <w:rsid w:val="007E3783"/>
    <w:rsid w:val="007E57E5"/>
    <w:rsid w:val="007F00FF"/>
    <w:rsid w:val="007F0E62"/>
    <w:rsid w:val="007F130D"/>
    <w:rsid w:val="007F323C"/>
    <w:rsid w:val="007F38D7"/>
    <w:rsid w:val="007F3FF5"/>
    <w:rsid w:val="007F4112"/>
    <w:rsid w:val="007F6FB0"/>
    <w:rsid w:val="007F7B4A"/>
    <w:rsid w:val="00801903"/>
    <w:rsid w:val="00806603"/>
    <w:rsid w:val="008071EF"/>
    <w:rsid w:val="0081215D"/>
    <w:rsid w:val="00813B61"/>
    <w:rsid w:val="008143F7"/>
    <w:rsid w:val="008228BE"/>
    <w:rsid w:val="00823BCB"/>
    <w:rsid w:val="00832D54"/>
    <w:rsid w:val="00835FEB"/>
    <w:rsid w:val="0084162D"/>
    <w:rsid w:val="0084343C"/>
    <w:rsid w:val="00852B41"/>
    <w:rsid w:val="00853DAF"/>
    <w:rsid w:val="008567D5"/>
    <w:rsid w:val="00864DEC"/>
    <w:rsid w:val="00866548"/>
    <w:rsid w:val="008676EF"/>
    <w:rsid w:val="00867BF6"/>
    <w:rsid w:val="00867D82"/>
    <w:rsid w:val="00872A21"/>
    <w:rsid w:val="00874732"/>
    <w:rsid w:val="00876A8E"/>
    <w:rsid w:val="00883659"/>
    <w:rsid w:val="00885589"/>
    <w:rsid w:val="00887D62"/>
    <w:rsid w:val="008906AC"/>
    <w:rsid w:val="00893CF6"/>
    <w:rsid w:val="00896C8B"/>
    <w:rsid w:val="008A1BEB"/>
    <w:rsid w:val="008A3038"/>
    <w:rsid w:val="008A33CC"/>
    <w:rsid w:val="008A3827"/>
    <w:rsid w:val="008B0D2E"/>
    <w:rsid w:val="008B2D1D"/>
    <w:rsid w:val="008B4B34"/>
    <w:rsid w:val="008B746B"/>
    <w:rsid w:val="008C027D"/>
    <w:rsid w:val="008C10AB"/>
    <w:rsid w:val="008D2964"/>
    <w:rsid w:val="008D43A3"/>
    <w:rsid w:val="008D654B"/>
    <w:rsid w:val="008E0D44"/>
    <w:rsid w:val="008E50D3"/>
    <w:rsid w:val="008E675C"/>
    <w:rsid w:val="008E770A"/>
    <w:rsid w:val="008F14D7"/>
    <w:rsid w:val="008F173C"/>
    <w:rsid w:val="008F3DDB"/>
    <w:rsid w:val="008F7628"/>
    <w:rsid w:val="00901531"/>
    <w:rsid w:val="009071EE"/>
    <w:rsid w:val="00907408"/>
    <w:rsid w:val="00911B1B"/>
    <w:rsid w:val="00913372"/>
    <w:rsid w:val="0091398B"/>
    <w:rsid w:val="00913A4F"/>
    <w:rsid w:val="00913E69"/>
    <w:rsid w:val="0091603A"/>
    <w:rsid w:val="009168FD"/>
    <w:rsid w:val="00920FA1"/>
    <w:rsid w:val="00922FFF"/>
    <w:rsid w:val="00923320"/>
    <w:rsid w:val="00923A1E"/>
    <w:rsid w:val="00930D4E"/>
    <w:rsid w:val="00940ADF"/>
    <w:rsid w:val="00944847"/>
    <w:rsid w:val="009461AF"/>
    <w:rsid w:val="0094786F"/>
    <w:rsid w:val="00951EA5"/>
    <w:rsid w:val="0095390F"/>
    <w:rsid w:val="00953F54"/>
    <w:rsid w:val="00954502"/>
    <w:rsid w:val="00955092"/>
    <w:rsid w:val="00956E9C"/>
    <w:rsid w:val="00957F1C"/>
    <w:rsid w:val="00962271"/>
    <w:rsid w:val="009649A2"/>
    <w:rsid w:val="0097208B"/>
    <w:rsid w:val="00973518"/>
    <w:rsid w:val="009750C1"/>
    <w:rsid w:val="009759BE"/>
    <w:rsid w:val="00983307"/>
    <w:rsid w:val="00983908"/>
    <w:rsid w:val="00986528"/>
    <w:rsid w:val="00991D21"/>
    <w:rsid w:val="009925D4"/>
    <w:rsid w:val="009937C7"/>
    <w:rsid w:val="009A283B"/>
    <w:rsid w:val="009B7D3B"/>
    <w:rsid w:val="009C0F41"/>
    <w:rsid w:val="009C2F42"/>
    <w:rsid w:val="009C76E5"/>
    <w:rsid w:val="009D0742"/>
    <w:rsid w:val="009D19A9"/>
    <w:rsid w:val="009D2232"/>
    <w:rsid w:val="009D2F23"/>
    <w:rsid w:val="009D369A"/>
    <w:rsid w:val="009D5313"/>
    <w:rsid w:val="009E0554"/>
    <w:rsid w:val="009E5C38"/>
    <w:rsid w:val="009E7C8E"/>
    <w:rsid w:val="009F0E6C"/>
    <w:rsid w:val="009F3530"/>
    <w:rsid w:val="009F5416"/>
    <w:rsid w:val="00A044F3"/>
    <w:rsid w:val="00A1740E"/>
    <w:rsid w:val="00A17A4D"/>
    <w:rsid w:val="00A233A2"/>
    <w:rsid w:val="00A269C2"/>
    <w:rsid w:val="00A26E79"/>
    <w:rsid w:val="00A279E5"/>
    <w:rsid w:val="00A30807"/>
    <w:rsid w:val="00A3418C"/>
    <w:rsid w:val="00A3775C"/>
    <w:rsid w:val="00A413BD"/>
    <w:rsid w:val="00A414B8"/>
    <w:rsid w:val="00A43434"/>
    <w:rsid w:val="00A43719"/>
    <w:rsid w:val="00A4543C"/>
    <w:rsid w:val="00A47340"/>
    <w:rsid w:val="00A523AC"/>
    <w:rsid w:val="00A5264B"/>
    <w:rsid w:val="00A535B2"/>
    <w:rsid w:val="00A541BB"/>
    <w:rsid w:val="00A61B28"/>
    <w:rsid w:val="00A61CB5"/>
    <w:rsid w:val="00A6264D"/>
    <w:rsid w:val="00A7265B"/>
    <w:rsid w:val="00A746FA"/>
    <w:rsid w:val="00A83508"/>
    <w:rsid w:val="00A856D4"/>
    <w:rsid w:val="00A87BD1"/>
    <w:rsid w:val="00A94A90"/>
    <w:rsid w:val="00AA17B6"/>
    <w:rsid w:val="00AA3C0F"/>
    <w:rsid w:val="00AA4F29"/>
    <w:rsid w:val="00AA7900"/>
    <w:rsid w:val="00AB77DE"/>
    <w:rsid w:val="00AC02FE"/>
    <w:rsid w:val="00AC3995"/>
    <w:rsid w:val="00AC3D0D"/>
    <w:rsid w:val="00AC4EA6"/>
    <w:rsid w:val="00AC580B"/>
    <w:rsid w:val="00AD55C3"/>
    <w:rsid w:val="00AD767A"/>
    <w:rsid w:val="00AE038D"/>
    <w:rsid w:val="00AE3370"/>
    <w:rsid w:val="00AE4E78"/>
    <w:rsid w:val="00AE5701"/>
    <w:rsid w:val="00AE7525"/>
    <w:rsid w:val="00AE78CD"/>
    <w:rsid w:val="00AF01F4"/>
    <w:rsid w:val="00AF0C2E"/>
    <w:rsid w:val="00AF118A"/>
    <w:rsid w:val="00AF2FD9"/>
    <w:rsid w:val="00AF60CA"/>
    <w:rsid w:val="00B0336D"/>
    <w:rsid w:val="00B223C2"/>
    <w:rsid w:val="00B242D0"/>
    <w:rsid w:val="00B243B8"/>
    <w:rsid w:val="00B2527F"/>
    <w:rsid w:val="00B323A7"/>
    <w:rsid w:val="00B34DA1"/>
    <w:rsid w:val="00B35964"/>
    <w:rsid w:val="00B35B6A"/>
    <w:rsid w:val="00B378CC"/>
    <w:rsid w:val="00B42F8C"/>
    <w:rsid w:val="00B4410B"/>
    <w:rsid w:val="00B45798"/>
    <w:rsid w:val="00B50D48"/>
    <w:rsid w:val="00B515A0"/>
    <w:rsid w:val="00B51DE5"/>
    <w:rsid w:val="00B63AB4"/>
    <w:rsid w:val="00B71449"/>
    <w:rsid w:val="00B723FF"/>
    <w:rsid w:val="00B7261A"/>
    <w:rsid w:val="00B803F0"/>
    <w:rsid w:val="00B828F9"/>
    <w:rsid w:val="00B84144"/>
    <w:rsid w:val="00B9562D"/>
    <w:rsid w:val="00B9640F"/>
    <w:rsid w:val="00BA06FB"/>
    <w:rsid w:val="00BA26AF"/>
    <w:rsid w:val="00BA2BB8"/>
    <w:rsid w:val="00BA77DA"/>
    <w:rsid w:val="00BA7EB3"/>
    <w:rsid w:val="00BB015D"/>
    <w:rsid w:val="00BB03E2"/>
    <w:rsid w:val="00BB04FD"/>
    <w:rsid w:val="00BB47E3"/>
    <w:rsid w:val="00BB5EC3"/>
    <w:rsid w:val="00BC0D49"/>
    <w:rsid w:val="00BC75C1"/>
    <w:rsid w:val="00BD0380"/>
    <w:rsid w:val="00BD190A"/>
    <w:rsid w:val="00BD3CFE"/>
    <w:rsid w:val="00BD6E51"/>
    <w:rsid w:val="00BD79CF"/>
    <w:rsid w:val="00BE086C"/>
    <w:rsid w:val="00BE39B5"/>
    <w:rsid w:val="00BE46AF"/>
    <w:rsid w:val="00BF066E"/>
    <w:rsid w:val="00BF0761"/>
    <w:rsid w:val="00C003CB"/>
    <w:rsid w:val="00C00717"/>
    <w:rsid w:val="00C01985"/>
    <w:rsid w:val="00C02E22"/>
    <w:rsid w:val="00C06F07"/>
    <w:rsid w:val="00C07263"/>
    <w:rsid w:val="00C11263"/>
    <w:rsid w:val="00C12366"/>
    <w:rsid w:val="00C12560"/>
    <w:rsid w:val="00C14117"/>
    <w:rsid w:val="00C16147"/>
    <w:rsid w:val="00C22524"/>
    <w:rsid w:val="00C245AD"/>
    <w:rsid w:val="00C24B7F"/>
    <w:rsid w:val="00C2672F"/>
    <w:rsid w:val="00C27A20"/>
    <w:rsid w:val="00C3176A"/>
    <w:rsid w:val="00C31F1E"/>
    <w:rsid w:val="00C361FC"/>
    <w:rsid w:val="00C4013D"/>
    <w:rsid w:val="00C40446"/>
    <w:rsid w:val="00C516C2"/>
    <w:rsid w:val="00C524B3"/>
    <w:rsid w:val="00C550DE"/>
    <w:rsid w:val="00C56876"/>
    <w:rsid w:val="00C56C10"/>
    <w:rsid w:val="00C619E2"/>
    <w:rsid w:val="00C624A5"/>
    <w:rsid w:val="00C63C49"/>
    <w:rsid w:val="00C64981"/>
    <w:rsid w:val="00C71281"/>
    <w:rsid w:val="00C72122"/>
    <w:rsid w:val="00C75028"/>
    <w:rsid w:val="00C91AC5"/>
    <w:rsid w:val="00C9273B"/>
    <w:rsid w:val="00C9492A"/>
    <w:rsid w:val="00CA0447"/>
    <w:rsid w:val="00CA341D"/>
    <w:rsid w:val="00CB183F"/>
    <w:rsid w:val="00CB1BA9"/>
    <w:rsid w:val="00CC009A"/>
    <w:rsid w:val="00CC0A6A"/>
    <w:rsid w:val="00CD05E8"/>
    <w:rsid w:val="00CD2B8C"/>
    <w:rsid w:val="00CD58A6"/>
    <w:rsid w:val="00CE561B"/>
    <w:rsid w:val="00CF365C"/>
    <w:rsid w:val="00D06ABD"/>
    <w:rsid w:val="00D1366F"/>
    <w:rsid w:val="00D14539"/>
    <w:rsid w:val="00D150ED"/>
    <w:rsid w:val="00D1707A"/>
    <w:rsid w:val="00D21F32"/>
    <w:rsid w:val="00D24667"/>
    <w:rsid w:val="00D24C80"/>
    <w:rsid w:val="00D31D6C"/>
    <w:rsid w:val="00D33000"/>
    <w:rsid w:val="00D33021"/>
    <w:rsid w:val="00D34D82"/>
    <w:rsid w:val="00D353ED"/>
    <w:rsid w:val="00D37CAD"/>
    <w:rsid w:val="00D42261"/>
    <w:rsid w:val="00D42A14"/>
    <w:rsid w:val="00D42A1E"/>
    <w:rsid w:val="00D42AFC"/>
    <w:rsid w:val="00D43343"/>
    <w:rsid w:val="00D43799"/>
    <w:rsid w:val="00D44663"/>
    <w:rsid w:val="00D447CE"/>
    <w:rsid w:val="00D53E58"/>
    <w:rsid w:val="00D563D5"/>
    <w:rsid w:val="00D626F5"/>
    <w:rsid w:val="00D6705B"/>
    <w:rsid w:val="00D77EA3"/>
    <w:rsid w:val="00D8005F"/>
    <w:rsid w:val="00D816F0"/>
    <w:rsid w:val="00D85F9E"/>
    <w:rsid w:val="00D86CDE"/>
    <w:rsid w:val="00D939B5"/>
    <w:rsid w:val="00DA0635"/>
    <w:rsid w:val="00DA1E3F"/>
    <w:rsid w:val="00DA3B68"/>
    <w:rsid w:val="00DA7CC7"/>
    <w:rsid w:val="00DB3539"/>
    <w:rsid w:val="00DB3D5C"/>
    <w:rsid w:val="00DB6653"/>
    <w:rsid w:val="00DB74A9"/>
    <w:rsid w:val="00DC2C0D"/>
    <w:rsid w:val="00DC3C6A"/>
    <w:rsid w:val="00DC3E8B"/>
    <w:rsid w:val="00DC5505"/>
    <w:rsid w:val="00DC6D6D"/>
    <w:rsid w:val="00DD0986"/>
    <w:rsid w:val="00DD1ECC"/>
    <w:rsid w:val="00DD37EC"/>
    <w:rsid w:val="00DD37F1"/>
    <w:rsid w:val="00DD38E3"/>
    <w:rsid w:val="00DD616D"/>
    <w:rsid w:val="00DE1D31"/>
    <w:rsid w:val="00DE4D7B"/>
    <w:rsid w:val="00DE5501"/>
    <w:rsid w:val="00DF3B48"/>
    <w:rsid w:val="00DF4643"/>
    <w:rsid w:val="00DF6576"/>
    <w:rsid w:val="00DF6F65"/>
    <w:rsid w:val="00E05286"/>
    <w:rsid w:val="00E1506A"/>
    <w:rsid w:val="00E23AE5"/>
    <w:rsid w:val="00E25BBE"/>
    <w:rsid w:val="00E26091"/>
    <w:rsid w:val="00E26145"/>
    <w:rsid w:val="00E2619B"/>
    <w:rsid w:val="00E3116E"/>
    <w:rsid w:val="00E355A4"/>
    <w:rsid w:val="00E36705"/>
    <w:rsid w:val="00E3765D"/>
    <w:rsid w:val="00E44224"/>
    <w:rsid w:val="00E45B70"/>
    <w:rsid w:val="00E47CA5"/>
    <w:rsid w:val="00E504AF"/>
    <w:rsid w:val="00E51EBB"/>
    <w:rsid w:val="00E55BEE"/>
    <w:rsid w:val="00E56C6C"/>
    <w:rsid w:val="00E602E0"/>
    <w:rsid w:val="00E606B1"/>
    <w:rsid w:val="00E70090"/>
    <w:rsid w:val="00E70EE4"/>
    <w:rsid w:val="00E71182"/>
    <w:rsid w:val="00E718CB"/>
    <w:rsid w:val="00E73922"/>
    <w:rsid w:val="00E7619D"/>
    <w:rsid w:val="00E83E71"/>
    <w:rsid w:val="00E86E6C"/>
    <w:rsid w:val="00E92AD0"/>
    <w:rsid w:val="00E931A6"/>
    <w:rsid w:val="00E939A9"/>
    <w:rsid w:val="00E94CC3"/>
    <w:rsid w:val="00E953C1"/>
    <w:rsid w:val="00EA26AE"/>
    <w:rsid w:val="00EA55CB"/>
    <w:rsid w:val="00EA621C"/>
    <w:rsid w:val="00EA6D82"/>
    <w:rsid w:val="00EB29AE"/>
    <w:rsid w:val="00EB4C0E"/>
    <w:rsid w:val="00EB4FC2"/>
    <w:rsid w:val="00EB6428"/>
    <w:rsid w:val="00EB65A7"/>
    <w:rsid w:val="00EC0AF7"/>
    <w:rsid w:val="00EC3E78"/>
    <w:rsid w:val="00EC50AB"/>
    <w:rsid w:val="00ED1744"/>
    <w:rsid w:val="00ED3C14"/>
    <w:rsid w:val="00ED3E09"/>
    <w:rsid w:val="00EE08D4"/>
    <w:rsid w:val="00EE09BA"/>
    <w:rsid w:val="00EE0D42"/>
    <w:rsid w:val="00EE1104"/>
    <w:rsid w:val="00EE14E1"/>
    <w:rsid w:val="00EE1772"/>
    <w:rsid w:val="00EE44AA"/>
    <w:rsid w:val="00EE70D4"/>
    <w:rsid w:val="00EF1998"/>
    <w:rsid w:val="00EF2D8B"/>
    <w:rsid w:val="00EF3B10"/>
    <w:rsid w:val="00EF4E66"/>
    <w:rsid w:val="00EF7046"/>
    <w:rsid w:val="00F00BC6"/>
    <w:rsid w:val="00F01361"/>
    <w:rsid w:val="00F12C80"/>
    <w:rsid w:val="00F1305C"/>
    <w:rsid w:val="00F1433E"/>
    <w:rsid w:val="00F15510"/>
    <w:rsid w:val="00F1576F"/>
    <w:rsid w:val="00F21E30"/>
    <w:rsid w:val="00F22EFA"/>
    <w:rsid w:val="00F23D36"/>
    <w:rsid w:val="00F26F18"/>
    <w:rsid w:val="00F2745C"/>
    <w:rsid w:val="00F3191D"/>
    <w:rsid w:val="00F3381F"/>
    <w:rsid w:val="00F36220"/>
    <w:rsid w:val="00F3744C"/>
    <w:rsid w:val="00F421C1"/>
    <w:rsid w:val="00F44A5D"/>
    <w:rsid w:val="00F5018F"/>
    <w:rsid w:val="00F5040D"/>
    <w:rsid w:val="00F6064E"/>
    <w:rsid w:val="00F62F34"/>
    <w:rsid w:val="00F84436"/>
    <w:rsid w:val="00F857BC"/>
    <w:rsid w:val="00F87F4E"/>
    <w:rsid w:val="00F9103E"/>
    <w:rsid w:val="00F912C0"/>
    <w:rsid w:val="00F91C9D"/>
    <w:rsid w:val="00F9323E"/>
    <w:rsid w:val="00FA212E"/>
    <w:rsid w:val="00FB0207"/>
    <w:rsid w:val="00FB3FAA"/>
    <w:rsid w:val="00FB4A03"/>
    <w:rsid w:val="00FB5DAF"/>
    <w:rsid w:val="00FB7888"/>
    <w:rsid w:val="00FC37A4"/>
    <w:rsid w:val="00FC39CD"/>
    <w:rsid w:val="00FD0439"/>
    <w:rsid w:val="00FD27C5"/>
    <w:rsid w:val="00FD60B6"/>
    <w:rsid w:val="00FD70E8"/>
    <w:rsid w:val="00FD7BAC"/>
    <w:rsid w:val="00FE1902"/>
    <w:rsid w:val="00FE55EF"/>
    <w:rsid w:val="00FE59BA"/>
    <w:rsid w:val="00FF6B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E8C69"/>
  <w15:chartTrackingRefBased/>
  <w15:docId w15:val="{12CCE564-43E0-4F38-BB55-43D2BFE1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780B"/>
  </w:style>
  <w:style w:type="paragraph" w:styleId="Ttulo1">
    <w:name w:val="heading 1"/>
    <w:basedOn w:val="Normal"/>
    <w:next w:val="Normal"/>
    <w:link w:val="Ttulo1Car"/>
    <w:uiPriority w:val="9"/>
    <w:qFormat/>
    <w:rsid w:val="00AE33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D05E8"/>
    <w:rPr>
      <w:color w:val="0563C1" w:themeColor="hyperlink"/>
      <w:u w:val="single"/>
    </w:rPr>
  </w:style>
  <w:style w:type="character" w:styleId="Mencinsinresolver">
    <w:name w:val="Unresolved Mention"/>
    <w:basedOn w:val="Fuentedeprrafopredeter"/>
    <w:uiPriority w:val="99"/>
    <w:semiHidden/>
    <w:unhideWhenUsed/>
    <w:rsid w:val="00CD05E8"/>
    <w:rPr>
      <w:color w:val="605E5C"/>
      <w:shd w:val="clear" w:color="auto" w:fill="E1DFDD"/>
    </w:rPr>
  </w:style>
  <w:style w:type="paragraph" w:styleId="Prrafodelista">
    <w:name w:val="List Paragraph"/>
    <w:basedOn w:val="Normal"/>
    <w:uiPriority w:val="34"/>
    <w:qFormat/>
    <w:rsid w:val="0097208B"/>
    <w:pPr>
      <w:ind w:left="720"/>
      <w:contextualSpacing/>
    </w:pPr>
  </w:style>
  <w:style w:type="paragraph" w:styleId="Textonotapie">
    <w:name w:val="footnote text"/>
    <w:basedOn w:val="Normal"/>
    <w:link w:val="TextonotapieCar"/>
    <w:uiPriority w:val="99"/>
    <w:unhideWhenUsed/>
    <w:rsid w:val="00DC6D6D"/>
    <w:pPr>
      <w:spacing w:after="0" w:line="240" w:lineRule="auto"/>
    </w:pPr>
    <w:rPr>
      <w:sz w:val="20"/>
      <w:szCs w:val="20"/>
    </w:rPr>
  </w:style>
  <w:style w:type="character" w:customStyle="1" w:styleId="TextonotapieCar">
    <w:name w:val="Texto nota pie Car"/>
    <w:basedOn w:val="Fuentedeprrafopredeter"/>
    <w:link w:val="Textonotapie"/>
    <w:uiPriority w:val="99"/>
    <w:rsid w:val="00DC6D6D"/>
    <w:rPr>
      <w:sz w:val="20"/>
      <w:szCs w:val="20"/>
    </w:rPr>
  </w:style>
  <w:style w:type="character" w:styleId="Refdenotaalpie">
    <w:name w:val="footnote reference"/>
    <w:basedOn w:val="Fuentedeprrafopredeter"/>
    <w:uiPriority w:val="99"/>
    <w:semiHidden/>
    <w:unhideWhenUsed/>
    <w:rsid w:val="00DC6D6D"/>
    <w:rPr>
      <w:vertAlign w:val="superscript"/>
    </w:rPr>
  </w:style>
  <w:style w:type="paragraph" w:styleId="HTMLconformatoprevio">
    <w:name w:val="HTML Preformatted"/>
    <w:basedOn w:val="Normal"/>
    <w:link w:val="HTMLconformatoprevioCar"/>
    <w:uiPriority w:val="99"/>
    <w:semiHidden/>
    <w:unhideWhenUsed/>
    <w:rsid w:val="00CA341D"/>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CA341D"/>
    <w:rPr>
      <w:rFonts w:ascii="Consolas" w:hAnsi="Consolas"/>
      <w:sz w:val="20"/>
      <w:szCs w:val="20"/>
    </w:rPr>
  </w:style>
  <w:style w:type="character" w:styleId="Hipervnculovisitado">
    <w:name w:val="FollowedHyperlink"/>
    <w:basedOn w:val="Fuentedeprrafopredeter"/>
    <w:uiPriority w:val="99"/>
    <w:semiHidden/>
    <w:unhideWhenUsed/>
    <w:rsid w:val="00D44663"/>
    <w:rPr>
      <w:color w:val="954F72" w:themeColor="followedHyperlink"/>
      <w:u w:val="single"/>
    </w:rPr>
  </w:style>
  <w:style w:type="paragraph" w:styleId="Encabezado">
    <w:name w:val="header"/>
    <w:basedOn w:val="Normal"/>
    <w:link w:val="EncabezadoCar"/>
    <w:uiPriority w:val="99"/>
    <w:unhideWhenUsed/>
    <w:rsid w:val="00EE17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1772"/>
  </w:style>
  <w:style w:type="paragraph" w:styleId="Piedepgina">
    <w:name w:val="footer"/>
    <w:basedOn w:val="Normal"/>
    <w:link w:val="PiedepginaCar"/>
    <w:uiPriority w:val="99"/>
    <w:unhideWhenUsed/>
    <w:rsid w:val="00EE17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1772"/>
  </w:style>
  <w:style w:type="character" w:customStyle="1" w:styleId="Ttulo1Car">
    <w:name w:val="Título 1 Car"/>
    <w:basedOn w:val="Fuentedeprrafopredeter"/>
    <w:link w:val="Ttulo1"/>
    <w:uiPriority w:val="9"/>
    <w:rsid w:val="00AE337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6974">
      <w:bodyDiv w:val="1"/>
      <w:marLeft w:val="0"/>
      <w:marRight w:val="0"/>
      <w:marTop w:val="0"/>
      <w:marBottom w:val="0"/>
      <w:divBdr>
        <w:top w:val="none" w:sz="0" w:space="0" w:color="auto"/>
        <w:left w:val="none" w:sz="0" w:space="0" w:color="auto"/>
        <w:bottom w:val="none" w:sz="0" w:space="0" w:color="auto"/>
        <w:right w:val="none" w:sz="0" w:space="0" w:color="auto"/>
      </w:divBdr>
    </w:div>
    <w:div w:id="116148680">
      <w:bodyDiv w:val="1"/>
      <w:marLeft w:val="0"/>
      <w:marRight w:val="0"/>
      <w:marTop w:val="0"/>
      <w:marBottom w:val="0"/>
      <w:divBdr>
        <w:top w:val="none" w:sz="0" w:space="0" w:color="auto"/>
        <w:left w:val="none" w:sz="0" w:space="0" w:color="auto"/>
        <w:bottom w:val="none" w:sz="0" w:space="0" w:color="auto"/>
        <w:right w:val="none" w:sz="0" w:space="0" w:color="auto"/>
      </w:divBdr>
    </w:div>
    <w:div w:id="157811015">
      <w:bodyDiv w:val="1"/>
      <w:marLeft w:val="0"/>
      <w:marRight w:val="0"/>
      <w:marTop w:val="0"/>
      <w:marBottom w:val="0"/>
      <w:divBdr>
        <w:top w:val="none" w:sz="0" w:space="0" w:color="auto"/>
        <w:left w:val="none" w:sz="0" w:space="0" w:color="auto"/>
        <w:bottom w:val="none" w:sz="0" w:space="0" w:color="auto"/>
        <w:right w:val="none" w:sz="0" w:space="0" w:color="auto"/>
      </w:divBdr>
    </w:div>
    <w:div w:id="243227899">
      <w:bodyDiv w:val="1"/>
      <w:marLeft w:val="0"/>
      <w:marRight w:val="0"/>
      <w:marTop w:val="0"/>
      <w:marBottom w:val="0"/>
      <w:divBdr>
        <w:top w:val="none" w:sz="0" w:space="0" w:color="auto"/>
        <w:left w:val="none" w:sz="0" w:space="0" w:color="auto"/>
        <w:bottom w:val="none" w:sz="0" w:space="0" w:color="auto"/>
        <w:right w:val="none" w:sz="0" w:space="0" w:color="auto"/>
      </w:divBdr>
    </w:div>
    <w:div w:id="252519646">
      <w:bodyDiv w:val="1"/>
      <w:marLeft w:val="0"/>
      <w:marRight w:val="0"/>
      <w:marTop w:val="0"/>
      <w:marBottom w:val="0"/>
      <w:divBdr>
        <w:top w:val="none" w:sz="0" w:space="0" w:color="auto"/>
        <w:left w:val="none" w:sz="0" w:space="0" w:color="auto"/>
        <w:bottom w:val="none" w:sz="0" w:space="0" w:color="auto"/>
        <w:right w:val="none" w:sz="0" w:space="0" w:color="auto"/>
      </w:divBdr>
    </w:div>
    <w:div w:id="256134649">
      <w:bodyDiv w:val="1"/>
      <w:marLeft w:val="0"/>
      <w:marRight w:val="0"/>
      <w:marTop w:val="0"/>
      <w:marBottom w:val="0"/>
      <w:divBdr>
        <w:top w:val="none" w:sz="0" w:space="0" w:color="auto"/>
        <w:left w:val="none" w:sz="0" w:space="0" w:color="auto"/>
        <w:bottom w:val="none" w:sz="0" w:space="0" w:color="auto"/>
        <w:right w:val="none" w:sz="0" w:space="0" w:color="auto"/>
      </w:divBdr>
    </w:div>
    <w:div w:id="291207249">
      <w:bodyDiv w:val="1"/>
      <w:marLeft w:val="0"/>
      <w:marRight w:val="0"/>
      <w:marTop w:val="0"/>
      <w:marBottom w:val="0"/>
      <w:divBdr>
        <w:top w:val="none" w:sz="0" w:space="0" w:color="auto"/>
        <w:left w:val="none" w:sz="0" w:space="0" w:color="auto"/>
        <w:bottom w:val="none" w:sz="0" w:space="0" w:color="auto"/>
        <w:right w:val="none" w:sz="0" w:space="0" w:color="auto"/>
      </w:divBdr>
    </w:div>
    <w:div w:id="296303482">
      <w:bodyDiv w:val="1"/>
      <w:marLeft w:val="0"/>
      <w:marRight w:val="0"/>
      <w:marTop w:val="0"/>
      <w:marBottom w:val="0"/>
      <w:divBdr>
        <w:top w:val="none" w:sz="0" w:space="0" w:color="auto"/>
        <w:left w:val="none" w:sz="0" w:space="0" w:color="auto"/>
        <w:bottom w:val="none" w:sz="0" w:space="0" w:color="auto"/>
        <w:right w:val="none" w:sz="0" w:space="0" w:color="auto"/>
      </w:divBdr>
    </w:div>
    <w:div w:id="307823554">
      <w:bodyDiv w:val="1"/>
      <w:marLeft w:val="0"/>
      <w:marRight w:val="0"/>
      <w:marTop w:val="0"/>
      <w:marBottom w:val="0"/>
      <w:divBdr>
        <w:top w:val="none" w:sz="0" w:space="0" w:color="auto"/>
        <w:left w:val="none" w:sz="0" w:space="0" w:color="auto"/>
        <w:bottom w:val="none" w:sz="0" w:space="0" w:color="auto"/>
        <w:right w:val="none" w:sz="0" w:space="0" w:color="auto"/>
      </w:divBdr>
    </w:div>
    <w:div w:id="326978864">
      <w:bodyDiv w:val="1"/>
      <w:marLeft w:val="0"/>
      <w:marRight w:val="0"/>
      <w:marTop w:val="0"/>
      <w:marBottom w:val="0"/>
      <w:divBdr>
        <w:top w:val="none" w:sz="0" w:space="0" w:color="auto"/>
        <w:left w:val="none" w:sz="0" w:space="0" w:color="auto"/>
        <w:bottom w:val="none" w:sz="0" w:space="0" w:color="auto"/>
        <w:right w:val="none" w:sz="0" w:space="0" w:color="auto"/>
      </w:divBdr>
    </w:div>
    <w:div w:id="601954048">
      <w:bodyDiv w:val="1"/>
      <w:marLeft w:val="0"/>
      <w:marRight w:val="0"/>
      <w:marTop w:val="0"/>
      <w:marBottom w:val="0"/>
      <w:divBdr>
        <w:top w:val="none" w:sz="0" w:space="0" w:color="auto"/>
        <w:left w:val="none" w:sz="0" w:space="0" w:color="auto"/>
        <w:bottom w:val="none" w:sz="0" w:space="0" w:color="auto"/>
        <w:right w:val="none" w:sz="0" w:space="0" w:color="auto"/>
      </w:divBdr>
    </w:div>
    <w:div w:id="634524411">
      <w:bodyDiv w:val="1"/>
      <w:marLeft w:val="0"/>
      <w:marRight w:val="0"/>
      <w:marTop w:val="0"/>
      <w:marBottom w:val="0"/>
      <w:divBdr>
        <w:top w:val="none" w:sz="0" w:space="0" w:color="auto"/>
        <w:left w:val="none" w:sz="0" w:space="0" w:color="auto"/>
        <w:bottom w:val="none" w:sz="0" w:space="0" w:color="auto"/>
        <w:right w:val="none" w:sz="0" w:space="0" w:color="auto"/>
      </w:divBdr>
    </w:div>
    <w:div w:id="645284153">
      <w:bodyDiv w:val="1"/>
      <w:marLeft w:val="0"/>
      <w:marRight w:val="0"/>
      <w:marTop w:val="0"/>
      <w:marBottom w:val="0"/>
      <w:divBdr>
        <w:top w:val="none" w:sz="0" w:space="0" w:color="auto"/>
        <w:left w:val="none" w:sz="0" w:space="0" w:color="auto"/>
        <w:bottom w:val="none" w:sz="0" w:space="0" w:color="auto"/>
        <w:right w:val="none" w:sz="0" w:space="0" w:color="auto"/>
      </w:divBdr>
    </w:div>
    <w:div w:id="654334263">
      <w:bodyDiv w:val="1"/>
      <w:marLeft w:val="0"/>
      <w:marRight w:val="0"/>
      <w:marTop w:val="0"/>
      <w:marBottom w:val="0"/>
      <w:divBdr>
        <w:top w:val="none" w:sz="0" w:space="0" w:color="auto"/>
        <w:left w:val="none" w:sz="0" w:space="0" w:color="auto"/>
        <w:bottom w:val="none" w:sz="0" w:space="0" w:color="auto"/>
        <w:right w:val="none" w:sz="0" w:space="0" w:color="auto"/>
      </w:divBdr>
      <w:divsChild>
        <w:div w:id="668211482">
          <w:marLeft w:val="0"/>
          <w:marRight w:val="0"/>
          <w:marTop w:val="100"/>
          <w:marBottom w:val="0"/>
          <w:divBdr>
            <w:top w:val="none" w:sz="0" w:space="0" w:color="auto"/>
            <w:left w:val="none" w:sz="0" w:space="0" w:color="auto"/>
            <w:bottom w:val="none" w:sz="0" w:space="0" w:color="auto"/>
            <w:right w:val="none" w:sz="0" w:space="0" w:color="auto"/>
          </w:divBdr>
          <w:divsChild>
            <w:div w:id="861625558">
              <w:marLeft w:val="0"/>
              <w:marRight w:val="0"/>
              <w:marTop w:val="60"/>
              <w:marBottom w:val="0"/>
              <w:divBdr>
                <w:top w:val="none" w:sz="0" w:space="0" w:color="auto"/>
                <w:left w:val="none" w:sz="0" w:space="0" w:color="auto"/>
                <w:bottom w:val="none" w:sz="0" w:space="0" w:color="auto"/>
                <w:right w:val="none" w:sz="0" w:space="0" w:color="auto"/>
              </w:divBdr>
            </w:div>
          </w:divsChild>
        </w:div>
        <w:div w:id="1445535664">
          <w:marLeft w:val="0"/>
          <w:marRight w:val="0"/>
          <w:marTop w:val="0"/>
          <w:marBottom w:val="0"/>
          <w:divBdr>
            <w:top w:val="none" w:sz="0" w:space="0" w:color="auto"/>
            <w:left w:val="none" w:sz="0" w:space="0" w:color="auto"/>
            <w:bottom w:val="none" w:sz="0" w:space="0" w:color="auto"/>
            <w:right w:val="none" w:sz="0" w:space="0" w:color="auto"/>
          </w:divBdr>
          <w:divsChild>
            <w:div w:id="311521984">
              <w:marLeft w:val="0"/>
              <w:marRight w:val="0"/>
              <w:marTop w:val="0"/>
              <w:marBottom w:val="0"/>
              <w:divBdr>
                <w:top w:val="none" w:sz="0" w:space="0" w:color="auto"/>
                <w:left w:val="none" w:sz="0" w:space="0" w:color="auto"/>
                <w:bottom w:val="none" w:sz="0" w:space="0" w:color="auto"/>
                <w:right w:val="none" w:sz="0" w:space="0" w:color="auto"/>
              </w:divBdr>
              <w:divsChild>
                <w:div w:id="28049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63038">
      <w:bodyDiv w:val="1"/>
      <w:marLeft w:val="0"/>
      <w:marRight w:val="0"/>
      <w:marTop w:val="0"/>
      <w:marBottom w:val="0"/>
      <w:divBdr>
        <w:top w:val="none" w:sz="0" w:space="0" w:color="auto"/>
        <w:left w:val="none" w:sz="0" w:space="0" w:color="auto"/>
        <w:bottom w:val="none" w:sz="0" w:space="0" w:color="auto"/>
        <w:right w:val="none" w:sz="0" w:space="0" w:color="auto"/>
      </w:divBdr>
    </w:div>
    <w:div w:id="992220823">
      <w:bodyDiv w:val="1"/>
      <w:marLeft w:val="0"/>
      <w:marRight w:val="0"/>
      <w:marTop w:val="0"/>
      <w:marBottom w:val="0"/>
      <w:divBdr>
        <w:top w:val="none" w:sz="0" w:space="0" w:color="auto"/>
        <w:left w:val="none" w:sz="0" w:space="0" w:color="auto"/>
        <w:bottom w:val="none" w:sz="0" w:space="0" w:color="auto"/>
        <w:right w:val="none" w:sz="0" w:space="0" w:color="auto"/>
      </w:divBdr>
    </w:div>
    <w:div w:id="993532535">
      <w:bodyDiv w:val="1"/>
      <w:marLeft w:val="0"/>
      <w:marRight w:val="0"/>
      <w:marTop w:val="0"/>
      <w:marBottom w:val="0"/>
      <w:divBdr>
        <w:top w:val="none" w:sz="0" w:space="0" w:color="auto"/>
        <w:left w:val="none" w:sz="0" w:space="0" w:color="auto"/>
        <w:bottom w:val="none" w:sz="0" w:space="0" w:color="auto"/>
        <w:right w:val="none" w:sz="0" w:space="0" w:color="auto"/>
      </w:divBdr>
    </w:div>
    <w:div w:id="1008292314">
      <w:bodyDiv w:val="1"/>
      <w:marLeft w:val="0"/>
      <w:marRight w:val="0"/>
      <w:marTop w:val="0"/>
      <w:marBottom w:val="0"/>
      <w:divBdr>
        <w:top w:val="none" w:sz="0" w:space="0" w:color="auto"/>
        <w:left w:val="none" w:sz="0" w:space="0" w:color="auto"/>
        <w:bottom w:val="none" w:sz="0" w:space="0" w:color="auto"/>
        <w:right w:val="none" w:sz="0" w:space="0" w:color="auto"/>
      </w:divBdr>
    </w:div>
    <w:div w:id="1028600949">
      <w:bodyDiv w:val="1"/>
      <w:marLeft w:val="0"/>
      <w:marRight w:val="0"/>
      <w:marTop w:val="0"/>
      <w:marBottom w:val="0"/>
      <w:divBdr>
        <w:top w:val="none" w:sz="0" w:space="0" w:color="auto"/>
        <w:left w:val="none" w:sz="0" w:space="0" w:color="auto"/>
        <w:bottom w:val="none" w:sz="0" w:space="0" w:color="auto"/>
        <w:right w:val="none" w:sz="0" w:space="0" w:color="auto"/>
      </w:divBdr>
    </w:div>
    <w:div w:id="1035155738">
      <w:bodyDiv w:val="1"/>
      <w:marLeft w:val="0"/>
      <w:marRight w:val="0"/>
      <w:marTop w:val="0"/>
      <w:marBottom w:val="0"/>
      <w:divBdr>
        <w:top w:val="none" w:sz="0" w:space="0" w:color="auto"/>
        <w:left w:val="none" w:sz="0" w:space="0" w:color="auto"/>
        <w:bottom w:val="none" w:sz="0" w:space="0" w:color="auto"/>
        <w:right w:val="none" w:sz="0" w:space="0" w:color="auto"/>
      </w:divBdr>
    </w:div>
    <w:div w:id="1084111535">
      <w:bodyDiv w:val="1"/>
      <w:marLeft w:val="0"/>
      <w:marRight w:val="0"/>
      <w:marTop w:val="0"/>
      <w:marBottom w:val="0"/>
      <w:divBdr>
        <w:top w:val="none" w:sz="0" w:space="0" w:color="auto"/>
        <w:left w:val="none" w:sz="0" w:space="0" w:color="auto"/>
        <w:bottom w:val="none" w:sz="0" w:space="0" w:color="auto"/>
        <w:right w:val="none" w:sz="0" w:space="0" w:color="auto"/>
      </w:divBdr>
    </w:div>
    <w:div w:id="1114980012">
      <w:bodyDiv w:val="1"/>
      <w:marLeft w:val="0"/>
      <w:marRight w:val="0"/>
      <w:marTop w:val="0"/>
      <w:marBottom w:val="0"/>
      <w:divBdr>
        <w:top w:val="none" w:sz="0" w:space="0" w:color="auto"/>
        <w:left w:val="none" w:sz="0" w:space="0" w:color="auto"/>
        <w:bottom w:val="none" w:sz="0" w:space="0" w:color="auto"/>
        <w:right w:val="none" w:sz="0" w:space="0" w:color="auto"/>
      </w:divBdr>
    </w:div>
    <w:div w:id="1188790241">
      <w:bodyDiv w:val="1"/>
      <w:marLeft w:val="0"/>
      <w:marRight w:val="0"/>
      <w:marTop w:val="0"/>
      <w:marBottom w:val="0"/>
      <w:divBdr>
        <w:top w:val="none" w:sz="0" w:space="0" w:color="auto"/>
        <w:left w:val="none" w:sz="0" w:space="0" w:color="auto"/>
        <w:bottom w:val="none" w:sz="0" w:space="0" w:color="auto"/>
        <w:right w:val="none" w:sz="0" w:space="0" w:color="auto"/>
      </w:divBdr>
    </w:div>
    <w:div w:id="1273592255">
      <w:bodyDiv w:val="1"/>
      <w:marLeft w:val="0"/>
      <w:marRight w:val="0"/>
      <w:marTop w:val="0"/>
      <w:marBottom w:val="0"/>
      <w:divBdr>
        <w:top w:val="none" w:sz="0" w:space="0" w:color="auto"/>
        <w:left w:val="none" w:sz="0" w:space="0" w:color="auto"/>
        <w:bottom w:val="none" w:sz="0" w:space="0" w:color="auto"/>
        <w:right w:val="none" w:sz="0" w:space="0" w:color="auto"/>
      </w:divBdr>
    </w:div>
    <w:div w:id="1542474696">
      <w:bodyDiv w:val="1"/>
      <w:marLeft w:val="0"/>
      <w:marRight w:val="0"/>
      <w:marTop w:val="0"/>
      <w:marBottom w:val="0"/>
      <w:divBdr>
        <w:top w:val="none" w:sz="0" w:space="0" w:color="auto"/>
        <w:left w:val="none" w:sz="0" w:space="0" w:color="auto"/>
        <w:bottom w:val="none" w:sz="0" w:space="0" w:color="auto"/>
        <w:right w:val="none" w:sz="0" w:space="0" w:color="auto"/>
      </w:divBdr>
      <w:divsChild>
        <w:div w:id="2044357690">
          <w:marLeft w:val="0"/>
          <w:marRight w:val="0"/>
          <w:marTop w:val="100"/>
          <w:marBottom w:val="0"/>
          <w:divBdr>
            <w:top w:val="none" w:sz="0" w:space="0" w:color="auto"/>
            <w:left w:val="none" w:sz="0" w:space="0" w:color="auto"/>
            <w:bottom w:val="none" w:sz="0" w:space="0" w:color="auto"/>
            <w:right w:val="none" w:sz="0" w:space="0" w:color="auto"/>
          </w:divBdr>
          <w:divsChild>
            <w:div w:id="1189023641">
              <w:marLeft w:val="0"/>
              <w:marRight w:val="0"/>
              <w:marTop w:val="60"/>
              <w:marBottom w:val="0"/>
              <w:divBdr>
                <w:top w:val="none" w:sz="0" w:space="0" w:color="auto"/>
                <w:left w:val="none" w:sz="0" w:space="0" w:color="auto"/>
                <w:bottom w:val="none" w:sz="0" w:space="0" w:color="auto"/>
                <w:right w:val="none" w:sz="0" w:space="0" w:color="auto"/>
              </w:divBdr>
            </w:div>
          </w:divsChild>
        </w:div>
        <w:div w:id="1947927625">
          <w:marLeft w:val="0"/>
          <w:marRight w:val="0"/>
          <w:marTop w:val="0"/>
          <w:marBottom w:val="0"/>
          <w:divBdr>
            <w:top w:val="none" w:sz="0" w:space="0" w:color="auto"/>
            <w:left w:val="none" w:sz="0" w:space="0" w:color="auto"/>
            <w:bottom w:val="none" w:sz="0" w:space="0" w:color="auto"/>
            <w:right w:val="none" w:sz="0" w:space="0" w:color="auto"/>
          </w:divBdr>
          <w:divsChild>
            <w:div w:id="307824006">
              <w:marLeft w:val="0"/>
              <w:marRight w:val="0"/>
              <w:marTop w:val="0"/>
              <w:marBottom w:val="0"/>
              <w:divBdr>
                <w:top w:val="none" w:sz="0" w:space="0" w:color="auto"/>
                <w:left w:val="none" w:sz="0" w:space="0" w:color="auto"/>
                <w:bottom w:val="none" w:sz="0" w:space="0" w:color="auto"/>
                <w:right w:val="none" w:sz="0" w:space="0" w:color="auto"/>
              </w:divBdr>
              <w:divsChild>
                <w:div w:id="59509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83596">
      <w:bodyDiv w:val="1"/>
      <w:marLeft w:val="0"/>
      <w:marRight w:val="0"/>
      <w:marTop w:val="0"/>
      <w:marBottom w:val="0"/>
      <w:divBdr>
        <w:top w:val="none" w:sz="0" w:space="0" w:color="auto"/>
        <w:left w:val="none" w:sz="0" w:space="0" w:color="auto"/>
        <w:bottom w:val="none" w:sz="0" w:space="0" w:color="auto"/>
        <w:right w:val="none" w:sz="0" w:space="0" w:color="auto"/>
      </w:divBdr>
    </w:div>
    <w:div w:id="1824159195">
      <w:bodyDiv w:val="1"/>
      <w:marLeft w:val="0"/>
      <w:marRight w:val="0"/>
      <w:marTop w:val="0"/>
      <w:marBottom w:val="0"/>
      <w:divBdr>
        <w:top w:val="none" w:sz="0" w:space="0" w:color="auto"/>
        <w:left w:val="none" w:sz="0" w:space="0" w:color="auto"/>
        <w:bottom w:val="none" w:sz="0" w:space="0" w:color="auto"/>
        <w:right w:val="none" w:sz="0" w:space="0" w:color="auto"/>
      </w:divBdr>
    </w:div>
    <w:div w:id="1905874416">
      <w:bodyDiv w:val="1"/>
      <w:marLeft w:val="0"/>
      <w:marRight w:val="0"/>
      <w:marTop w:val="0"/>
      <w:marBottom w:val="0"/>
      <w:divBdr>
        <w:top w:val="none" w:sz="0" w:space="0" w:color="auto"/>
        <w:left w:val="none" w:sz="0" w:space="0" w:color="auto"/>
        <w:bottom w:val="none" w:sz="0" w:space="0" w:color="auto"/>
        <w:right w:val="none" w:sz="0" w:space="0" w:color="auto"/>
      </w:divBdr>
    </w:div>
    <w:div w:id="1913390300">
      <w:bodyDiv w:val="1"/>
      <w:marLeft w:val="0"/>
      <w:marRight w:val="0"/>
      <w:marTop w:val="0"/>
      <w:marBottom w:val="0"/>
      <w:divBdr>
        <w:top w:val="none" w:sz="0" w:space="0" w:color="auto"/>
        <w:left w:val="none" w:sz="0" w:space="0" w:color="auto"/>
        <w:bottom w:val="none" w:sz="0" w:space="0" w:color="auto"/>
        <w:right w:val="none" w:sz="0" w:space="0" w:color="auto"/>
      </w:divBdr>
    </w:div>
    <w:div w:id="1975133007">
      <w:bodyDiv w:val="1"/>
      <w:marLeft w:val="0"/>
      <w:marRight w:val="0"/>
      <w:marTop w:val="0"/>
      <w:marBottom w:val="0"/>
      <w:divBdr>
        <w:top w:val="none" w:sz="0" w:space="0" w:color="auto"/>
        <w:left w:val="none" w:sz="0" w:space="0" w:color="auto"/>
        <w:bottom w:val="none" w:sz="0" w:space="0" w:color="auto"/>
        <w:right w:val="none" w:sz="0" w:space="0" w:color="auto"/>
      </w:divBdr>
    </w:div>
    <w:div w:id="1991328498">
      <w:bodyDiv w:val="1"/>
      <w:marLeft w:val="0"/>
      <w:marRight w:val="0"/>
      <w:marTop w:val="0"/>
      <w:marBottom w:val="0"/>
      <w:divBdr>
        <w:top w:val="none" w:sz="0" w:space="0" w:color="auto"/>
        <w:left w:val="none" w:sz="0" w:space="0" w:color="auto"/>
        <w:bottom w:val="none" w:sz="0" w:space="0" w:color="auto"/>
        <w:right w:val="none" w:sz="0" w:space="0" w:color="auto"/>
      </w:divBdr>
    </w:div>
    <w:div w:id="2042395388">
      <w:bodyDiv w:val="1"/>
      <w:marLeft w:val="0"/>
      <w:marRight w:val="0"/>
      <w:marTop w:val="0"/>
      <w:marBottom w:val="0"/>
      <w:divBdr>
        <w:top w:val="none" w:sz="0" w:space="0" w:color="auto"/>
        <w:left w:val="none" w:sz="0" w:space="0" w:color="auto"/>
        <w:bottom w:val="none" w:sz="0" w:space="0" w:color="auto"/>
        <w:right w:val="none" w:sz="0" w:space="0" w:color="auto"/>
      </w:divBdr>
    </w:div>
    <w:div w:id="213775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hudoc.echr.coe.int/fre" TargetMode="External"/><Relationship Id="rId18" Type="http://schemas.openxmlformats.org/officeDocument/2006/relationships/hyperlink" Target="https://hudoc.echr.coe.int/eng" TargetMode="External"/><Relationship Id="rId26" Type="http://schemas.openxmlformats.org/officeDocument/2006/relationships/hyperlink" Target="https://hudoc.echr.coe.int/fre" TargetMode="External"/><Relationship Id="rId3" Type="http://schemas.openxmlformats.org/officeDocument/2006/relationships/hyperlink" Target="https://www.academia.edu/8975101/El_matrimonio_entre_personas_del_mismo_sexo_a_la_luz_del_Convenio_Europeo_de_derechos_Humanos_y_la_Uni%C3%B3n_Europea" TargetMode="External"/><Relationship Id="rId21" Type="http://schemas.openxmlformats.org/officeDocument/2006/relationships/hyperlink" Target="https://hudoc.echr.coe.int/eng" TargetMode="External"/><Relationship Id="rId34" Type="http://schemas.openxmlformats.org/officeDocument/2006/relationships/hyperlink" Target="https://www.ibericonnect.blog/2021/04/el-tribunal-europeo-vuelve-a-recorrer-el-camino-en-la-direccion-de-una-efectiva-proteccion-de-la-identidad-sexual/" TargetMode="External"/><Relationship Id="rId7" Type="http://schemas.openxmlformats.org/officeDocument/2006/relationships/hyperlink" Target="https://www.lavanguardia.com/deportes/otros-deportes/20210214/6240352/ley-trans-coe-alejandro-blanco-testosterona-alba-palacios.html" TargetMode="External"/><Relationship Id="rId12" Type="http://schemas.openxmlformats.org/officeDocument/2006/relationships/hyperlink" Target="https://hudoc.echr.coe.int/spa" TargetMode="External"/><Relationship Id="rId17" Type="http://schemas.openxmlformats.org/officeDocument/2006/relationships/hyperlink" Target="https://hudoc.echr.coe.int/eng" TargetMode="External"/><Relationship Id="rId25" Type="http://schemas.openxmlformats.org/officeDocument/2006/relationships/hyperlink" Target="https://hudoc.echr.coe.int/fre" TargetMode="External"/><Relationship Id="rId33" Type="http://schemas.openxmlformats.org/officeDocument/2006/relationships/hyperlink" Target="https://hudoc.echr.coe.int/spa" TargetMode="External"/><Relationship Id="rId2" Type="http://schemas.openxmlformats.org/officeDocument/2006/relationships/hyperlink" Target="https://hudoc.echr.coe.int/fre" TargetMode="External"/><Relationship Id="rId16" Type="http://schemas.openxmlformats.org/officeDocument/2006/relationships/hyperlink" Target="https://hudoc.echr.coe.int/eng" TargetMode="External"/><Relationship Id="rId20" Type="http://schemas.openxmlformats.org/officeDocument/2006/relationships/hyperlink" Target="https://aisberg.unibg.it/retrieve/handle/10446/86784/157301/barcellona_bdh_clean.pdf" TargetMode="External"/><Relationship Id="rId29" Type="http://schemas.openxmlformats.org/officeDocument/2006/relationships/hyperlink" Target="https://strasbourgobservers.com/2018/10/19/s-v-v-italy-on-temporality-and-transgender-persons/" TargetMode="External"/><Relationship Id="rId1" Type="http://schemas.openxmlformats.org/officeDocument/2006/relationships/hyperlink" Target="https://hudoc.echr.coe.int/fre" TargetMode="External"/><Relationship Id="rId6" Type="http://schemas.openxmlformats.org/officeDocument/2006/relationships/hyperlink" Target="https://ethic.es/2021/02/cinco-claves-para-entender-la-polemica-de-la-ley-trans/" TargetMode="External"/><Relationship Id="rId11" Type="http://schemas.openxmlformats.org/officeDocument/2006/relationships/hyperlink" Target="https://hudoc.echr.coe.int/fre" TargetMode="External"/><Relationship Id="rId24" Type="http://schemas.openxmlformats.org/officeDocument/2006/relationships/hyperlink" Target="https://hudoc.echr.coe.int/eng" TargetMode="External"/><Relationship Id="rId32" Type="http://schemas.openxmlformats.org/officeDocument/2006/relationships/hyperlink" Target="https://hudoc.echr.coe.int/eng" TargetMode="External"/><Relationship Id="rId5" Type="http://schemas.openxmlformats.org/officeDocument/2006/relationships/hyperlink" Target="https://www.libertaddigital.com/espana/2021-06-29/las-7-razones-por-las-que-las-feministas-consideran-que-la-ley-trans-es-una-aberracion-6795534/" TargetMode="External"/><Relationship Id="rId15" Type="http://schemas.openxmlformats.org/officeDocument/2006/relationships/hyperlink" Target="https://hudoc.echr.coe.int/spa" TargetMode="External"/><Relationship Id="rId23" Type="http://schemas.openxmlformats.org/officeDocument/2006/relationships/hyperlink" Target="https://hudoc.echr.coe.int/eng/" TargetMode="External"/><Relationship Id="rId28" Type="http://schemas.openxmlformats.org/officeDocument/2006/relationships/hyperlink" Target="https://hudoc.echr.coe.int/fre" TargetMode="External"/><Relationship Id="rId10" Type="http://schemas.openxmlformats.org/officeDocument/2006/relationships/hyperlink" Target="https://www.tdx.cat/bitstream/handle/10803/386390/Txpa1de1.pdf.txt;jsessionid=ECCB9510C439E4C173A2A2971BE461B0?sequence=3" TargetMode="External"/><Relationship Id="rId19" Type="http://schemas.openxmlformats.org/officeDocument/2006/relationships/hyperlink" Target="https://hudoc.echr.coe.int/eng" TargetMode="External"/><Relationship Id="rId31" Type="http://schemas.openxmlformats.org/officeDocument/2006/relationships/hyperlink" Target="https://hudoc.echr.coe.int/eng" TargetMode="External"/><Relationship Id="rId4" Type="http://schemas.openxmlformats.org/officeDocument/2006/relationships/hyperlink" Target="https://hudoc.echr.coe.int/eng" TargetMode="External"/><Relationship Id="rId9" Type="http://schemas.openxmlformats.org/officeDocument/2006/relationships/hyperlink" Target="https://hudoc.echr.coe.int/eng" TargetMode="External"/><Relationship Id="rId14" Type="http://schemas.openxmlformats.org/officeDocument/2006/relationships/hyperlink" Target="https://hudoc.echr.coe.int/eng" TargetMode="External"/><Relationship Id="rId22" Type="http://schemas.openxmlformats.org/officeDocument/2006/relationships/hyperlink" Target="https://hudoc.echr.coe.int/fre" TargetMode="External"/><Relationship Id="rId27" Type="http://schemas.openxmlformats.org/officeDocument/2006/relationships/hyperlink" Target="https://hudoc.echr.coe.int/fre" TargetMode="External"/><Relationship Id="rId30" Type="http://schemas.openxmlformats.org/officeDocument/2006/relationships/hyperlink" Target="https://www.biodiritto.org/Biolaw-pedia/Giurisprudenza/Corte-Europea-dei-Diritti-dell-Uomo-S.V.-c.-Italia-transizione-di-genere" TargetMode="External"/><Relationship Id="rId8" Type="http://schemas.openxmlformats.org/officeDocument/2006/relationships/hyperlink" Target="https://www.larazon.es/deportes/20210630/6fumw6bb3rccjbe7ozy4wakti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93C4B-4159-454D-8DEF-9420F724D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11797</Words>
  <Characters>64886</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Romboli , Silvia</dc:creator>
  <cp:keywords/>
  <dc:description/>
  <cp:lastModifiedBy>Romboli , Silvia</cp:lastModifiedBy>
  <cp:revision>732</cp:revision>
  <dcterms:created xsi:type="dcterms:W3CDTF">2021-06-11T17:55:00Z</dcterms:created>
  <dcterms:modified xsi:type="dcterms:W3CDTF">2022-04-20T21:00:00Z</dcterms:modified>
</cp:coreProperties>
</file>